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1A9" w:rsidRPr="00F371A9" w:rsidRDefault="00F371A9" w:rsidP="00F371A9">
      <w:pPr>
        <w:pStyle w:val="a7"/>
        <w:keepLines/>
        <w:tabs>
          <w:tab w:val="right" w:pos="10440"/>
          <w:tab w:val="right" w:pos="13323"/>
        </w:tabs>
        <w:rPr>
          <w:rFonts w:eastAsia="宋体" w:cs="Arial"/>
          <w:sz w:val="24"/>
          <w:szCs w:val="24"/>
          <w:lang w:eastAsia="zh-CN"/>
        </w:rPr>
      </w:pPr>
      <w:bookmarkStart w:id="0" w:name="Title"/>
      <w:bookmarkStart w:id="1" w:name="DocumentFor"/>
      <w:bookmarkStart w:id="2" w:name="_Toc193024528"/>
      <w:bookmarkEnd w:id="0"/>
      <w:bookmarkEnd w:id="1"/>
      <w:r w:rsidRPr="00F371A9">
        <w:rPr>
          <w:rFonts w:cs="Arial"/>
          <w:sz w:val="24"/>
          <w:szCs w:val="24"/>
        </w:rPr>
        <w:t>3GPP TSG-RAN WG4 Meeting #</w:t>
      </w:r>
      <w:r w:rsidRPr="00F371A9">
        <w:t xml:space="preserve"> </w:t>
      </w:r>
      <w:r w:rsidRPr="00F371A9">
        <w:rPr>
          <w:rFonts w:cs="Arial"/>
          <w:sz w:val="24"/>
          <w:szCs w:val="24"/>
        </w:rPr>
        <w:t xml:space="preserve">98-bis-e </w:t>
      </w:r>
      <w:r w:rsidRPr="00F371A9">
        <w:rPr>
          <w:rFonts w:cs="Arial"/>
          <w:sz w:val="24"/>
          <w:szCs w:val="24"/>
        </w:rPr>
        <w:tab/>
      </w:r>
      <w:r w:rsidR="00506A21" w:rsidRPr="00506A21">
        <w:rPr>
          <w:rFonts w:cs="Arial"/>
          <w:sz w:val="24"/>
          <w:szCs w:val="24"/>
        </w:rPr>
        <w:t>R4-2106480</w:t>
      </w:r>
    </w:p>
    <w:p w:rsidR="0037119B" w:rsidRPr="00F371A9" w:rsidRDefault="00F371A9" w:rsidP="00F371A9">
      <w:pPr>
        <w:pStyle w:val="ac"/>
        <w:jc w:val="left"/>
        <w:rPr>
          <w:i w:val="0"/>
          <w:sz w:val="24"/>
          <w:szCs w:val="24"/>
          <w:lang w:eastAsia="zh-CN"/>
        </w:rPr>
      </w:pPr>
      <w:r w:rsidRPr="00F371A9">
        <w:rPr>
          <w:i w:val="0"/>
          <w:sz w:val="24"/>
          <w:szCs w:val="24"/>
          <w:lang w:eastAsia="zh-CN"/>
        </w:rPr>
        <w:t>Electronic Meeting, Apr. 12-20, 2021</w:t>
      </w:r>
    </w:p>
    <w:p w:rsidR="00F371A9" w:rsidRPr="002812B2" w:rsidRDefault="00F371A9" w:rsidP="00F371A9">
      <w:pPr>
        <w:pStyle w:val="ac"/>
        <w:jc w:val="left"/>
        <w:rPr>
          <w:rFonts w:eastAsia="宋体"/>
          <w:b w:val="0"/>
          <w:i w:val="0"/>
          <w:noProof w:val="0"/>
          <w:sz w:val="24"/>
          <w:lang w:eastAsia="zh-CN"/>
        </w:rPr>
      </w:pPr>
    </w:p>
    <w:p w:rsidR="0037119B" w:rsidRPr="00492450" w:rsidRDefault="0037119B" w:rsidP="004F2CB8">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9E3E15">
        <w:rPr>
          <w:rFonts w:ascii="Arial" w:hAnsi="Arial"/>
          <w:sz w:val="24"/>
          <w:lang w:val="en-US"/>
        </w:rPr>
        <w:t>Adding 90 and 100</w:t>
      </w:r>
      <w:r w:rsidR="00357CB8" w:rsidRPr="00357CB8">
        <w:rPr>
          <w:rFonts w:ascii="Arial" w:hAnsi="Arial"/>
          <w:sz w:val="24"/>
          <w:lang w:val="en-US"/>
        </w:rPr>
        <w:t>M</w:t>
      </w:r>
      <w:r w:rsidR="009E3E15">
        <w:rPr>
          <w:rFonts w:ascii="Arial" w:hAnsi="Arial"/>
          <w:sz w:val="24"/>
          <w:lang w:val="en-US"/>
        </w:rPr>
        <w:t>Hz</w:t>
      </w:r>
      <w:r w:rsidR="00357CB8" w:rsidRPr="00357CB8">
        <w:rPr>
          <w:rFonts w:ascii="Arial" w:hAnsi="Arial"/>
          <w:sz w:val="24"/>
          <w:lang w:val="en-US"/>
        </w:rPr>
        <w:t xml:space="preserve"> bandwidth for band n</w:t>
      </w:r>
      <w:r w:rsidR="009E3E15">
        <w:rPr>
          <w:rFonts w:ascii="Arial" w:hAnsi="Arial"/>
          <w:sz w:val="24"/>
          <w:lang w:val="en-US"/>
        </w:rPr>
        <w:t>4</w:t>
      </w:r>
      <w:r w:rsidR="00357CB8" w:rsidRPr="00357CB8">
        <w:rPr>
          <w:rFonts w:ascii="Arial" w:hAnsi="Arial"/>
          <w:sz w:val="24"/>
          <w:lang w:val="en-US"/>
        </w:rPr>
        <w:t>0</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r w:rsidR="000C6739">
        <w:rPr>
          <w:rStyle w:val="af8"/>
          <w:lang w:val="fr-FR"/>
        </w:rPr>
        <w:t>, CMCC</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7D1466">
        <w:rPr>
          <w:rFonts w:ascii="Arial" w:hAnsi="Arial"/>
          <w:sz w:val="24"/>
          <w:lang w:val="pt-BR"/>
        </w:rPr>
        <w:t>7.24</w:t>
      </w:r>
      <w:r w:rsidR="000C6739">
        <w:rPr>
          <w:rFonts w:ascii="Arial" w:hAnsi="Arial"/>
          <w:sz w:val="24"/>
          <w:lang w:val="pt-BR"/>
        </w:rPr>
        <w:t>.2</w:t>
      </w:r>
      <w:bookmarkStart w:id="3" w:name="_GoBack"/>
      <w:bookmarkEnd w:id="3"/>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812B2">
        <w:rPr>
          <w:rFonts w:ascii="Arial" w:hAnsi="Arial"/>
          <w:sz w:val="24"/>
          <w:lang w:val="pt-BR" w:eastAsia="zh-CN"/>
        </w:rPr>
        <w:t>Approval</w:t>
      </w:r>
    </w:p>
    <w:p w:rsidR="00DD5AE1" w:rsidRPr="00492450" w:rsidRDefault="00CD7DBF" w:rsidP="004F2CB8">
      <w:pPr>
        <w:pStyle w:val="1"/>
        <w:rPr>
          <w:rFonts w:eastAsia="宋体"/>
          <w:lang w:eastAsia="zh-CN"/>
        </w:rPr>
      </w:pPr>
      <w:r>
        <w:rPr>
          <w:rFonts w:eastAsia="宋体" w:hint="eastAsia"/>
          <w:lang w:eastAsia="zh-CN"/>
        </w:rPr>
        <w:t>Introduction</w:t>
      </w:r>
    </w:p>
    <w:p w:rsidR="00BA2BA4" w:rsidRDefault="00BA2BA4" w:rsidP="000678DD">
      <w:pPr>
        <w:rPr>
          <w:lang w:val="en-US" w:eastAsia="zh-CN"/>
        </w:rPr>
      </w:pPr>
      <w:r>
        <w:rPr>
          <w:lang w:val="en-US" w:eastAsia="zh-CN"/>
        </w:rPr>
        <w:t>In the last plenary meeting, proposals for adding new ex</w:t>
      </w:r>
      <w:r w:rsidR="00357CB8">
        <w:rPr>
          <w:lang w:val="en-US" w:eastAsia="zh-CN"/>
        </w:rPr>
        <w:t>isting BWs are approved in the revised</w:t>
      </w:r>
      <w:r>
        <w:rPr>
          <w:lang w:val="en-US" w:eastAsia="zh-CN"/>
        </w:rPr>
        <w:t xml:space="preserve"> WID RP-20</w:t>
      </w:r>
      <w:r w:rsidR="00357CB8">
        <w:rPr>
          <w:lang w:val="en-US" w:eastAsia="zh-CN"/>
        </w:rPr>
        <w:t>2062</w:t>
      </w:r>
      <w:r>
        <w:rPr>
          <w:lang w:val="en-US" w:eastAsia="zh-CN"/>
        </w:rPr>
        <w:t xml:space="preserve"> [1]. It is copied below that for every proposal, RAN4</w:t>
      </w:r>
      <w:r w:rsidR="00C73B5C">
        <w:rPr>
          <w:lang w:val="en-US" w:eastAsia="zh-CN"/>
        </w:rPr>
        <w:t xml:space="preserve"> considers to specify the corresponding RF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73B5C" w:rsidRPr="00A94E18" w:rsidTr="00A94E18">
        <w:tc>
          <w:tcPr>
            <w:tcW w:w="10683" w:type="dxa"/>
            <w:shd w:val="clear" w:color="auto" w:fill="auto"/>
          </w:tcPr>
          <w:p w:rsidR="00C73B5C" w:rsidRPr="00A94E18" w:rsidRDefault="00C73B5C" w:rsidP="00A94E18">
            <w:pPr>
              <w:numPr>
                <w:ilvl w:val="0"/>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Analyze and specify requirements:</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Reference sensitivity and associated RB allocation.</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When needed:</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MPR (relative bandwidth criteria)</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Additional Maximum Power Reduction (A-MPR)</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NS signalling.</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Any other RF requirement which might be relevant.</w:t>
            </w:r>
          </w:p>
          <w:p w:rsidR="00C73B5C" w:rsidRPr="00A94E18" w:rsidRDefault="00C73B5C" w:rsidP="000678DD">
            <w:pPr>
              <w:rPr>
                <w:rFonts w:ascii="CG Times (WN)" w:hAnsi="CG Times (WN)"/>
                <w:lang w:eastAsia="zh-CN"/>
              </w:rPr>
            </w:pPr>
          </w:p>
        </w:tc>
      </w:tr>
    </w:tbl>
    <w:p w:rsidR="00625DFB" w:rsidRDefault="00625DFB" w:rsidP="000678DD">
      <w:pPr>
        <w:rPr>
          <w:lang w:val="en-US" w:eastAsia="zh-CN"/>
        </w:rPr>
      </w:pPr>
    </w:p>
    <w:p w:rsidR="00F371A9" w:rsidRDefault="00F371A9" w:rsidP="000678DD">
      <w:pPr>
        <w:rPr>
          <w:lang w:val="en-US" w:eastAsia="zh-CN"/>
        </w:rPr>
      </w:pPr>
      <w:r>
        <w:rPr>
          <w:lang w:val="en-US" w:eastAsia="zh-CN"/>
        </w:rPr>
        <w:t>In last meeting, w</w:t>
      </w:r>
      <w:r w:rsidRPr="00F371A9">
        <w:rPr>
          <w:lang w:val="en-US" w:eastAsia="zh-CN"/>
        </w:rPr>
        <w:t>ay forward on adding 90 and 100MHz channel BW for UE in band n40</w:t>
      </w:r>
      <w:r>
        <w:rPr>
          <w:lang w:val="en-US" w:eastAsia="zh-CN"/>
        </w:rPr>
        <w:t xml:space="preserve"> was approved in [8].</w:t>
      </w:r>
    </w:p>
    <w:p w:rsidR="00A36CD5" w:rsidRPr="00F371A9" w:rsidRDefault="00F53458" w:rsidP="00F371A9">
      <w:pPr>
        <w:numPr>
          <w:ilvl w:val="1"/>
          <w:numId w:val="33"/>
        </w:numPr>
        <w:pBdr>
          <w:top w:val="single" w:sz="4" w:space="1" w:color="auto"/>
          <w:left w:val="single" w:sz="4" w:space="4" w:color="auto"/>
          <w:bottom w:val="single" w:sz="4" w:space="1" w:color="auto"/>
          <w:right w:val="single" w:sz="4" w:space="0" w:color="auto"/>
        </w:pBdr>
        <w:rPr>
          <w:lang w:val="en-US" w:eastAsia="zh-CN"/>
        </w:rPr>
      </w:pPr>
      <w:r w:rsidRPr="00F371A9">
        <w:rPr>
          <w:lang w:val="en-US" w:eastAsia="zh-CN"/>
        </w:rPr>
        <w:t>The filter rejection assumption and spurious emission requirements for co-existence with band n41 will follow the decision made in thread [113].</w:t>
      </w:r>
    </w:p>
    <w:p w:rsidR="00A36CD5" w:rsidRPr="00F371A9" w:rsidRDefault="00F53458" w:rsidP="00F371A9">
      <w:pPr>
        <w:numPr>
          <w:ilvl w:val="1"/>
          <w:numId w:val="33"/>
        </w:numPr>
        <w:pBdr>
          <w:top w:val="single" w:sz="4" w:space="1" w:color="auto"/>
          <w:left w:val="single" w:sz="4" w:space="4" w:color="auto"/>
          <w:bottom w:val="single" w:sz="4" w:space="1" w:color="auto"/>
          <w:right w:val="single" w:sz="4" w:space="0" w:color="auto"/>
        </w:pBdr>
        <w:rPr>
          <w:lang w:val="en-US" w:eastAsia="zh-CN"/>
        </w:rPr>
      </w:pPr>
      <w:r w:rsidRPr="00F371A9">
        <w:rPr>
          <w:lang w:val="en-US" w:eastAsia="zh-CN"/>
        </w:rPr>
        <w:t>To further investigate</w:t>
      </w:r>
    </w:p>
    <w:p w:rsidR="00A36CD5" w:rsidRPr="00F371A9" w:rsidRDefault="00F53458" w:rsidP="00F371A9">
      <w:pPr>
        <w:pBdr>
          <w:top w:val="single" w:sz="4" w:space="1" w:color="auto"/>
          <w:left w:val="single" w:sz="4" w:space="4" w:color="auto"/>
          <w:bottom w:val="single" w:sz="4" w:space="1" w:color="auto"/>
          <w:right w:val="single" w:sz="4" w:space="0" w:color="auto"/>
        </w:pBdr>
        <w:ind w:left="1080" w:firstLineChars="200" w:firstLine="400"/>
        <w:rPr>
          <w:lang w:val="en-US" w:eastAsia="zh-CN"/>
        </w:rPr>
      </w:pPr>
      <w:r w:rsidRPr="00F371A9">
        <w:rPr>
          <w:lang w:val="en-US" w:eastAsia="zh-CN"/>
        </w:rPr>
        <w:t>delta MPR for 90 and 100 MHz</w:t>
      </w:r>
    </w:p>
    <w:p w:rsidR="00A36CD5" w:rsidRPr="00F371A9" w:rsidRDefault="00F53458" w:rsidP="00F371A9">
      <w:pPr>
        <w:pBdr>
          <w:top w:val="single" w:sz="4" w:space="1" w:color="auto"/>
          <w:left w:val="single" w:sz="4" w:space="4" w:color="auto"/>
          <w:bottom w:val="single" w:sz="4" w:space="1" w:color="auto"/>
          <w:right w:val="single" w:sz="4" w:space="0" w:color="auto"/>
        </w:pBdr>
        <w:ind w:left="1080" w:firstLineChars="200" w:firstLine="400"/>
        <w:rPr>
          <w:lang w:val="en-US" w:eastAsia="zh-CN"/>
        </w:rPr>
      </w:pPr>
      <w:r w:rsidRPr="00F371A9">
        <w:rPr>
          <w:lang w:eastAsia="zh-CN"/>
        </w:rPr>
        <w:t>The need of AMPR for n41 coexistence</w:t>
      </w:r>
    </w:p>
    <w:p w:rsidR="00A36CD5" w:rsidRPr="00F371A9" w:rsidRDefault="00F53458" w:rsidP="00F371A9">
      <w:pPr>
        <w:numPr>
          <w:ilvl w:val="1"/>
          <w:numId w:val="33"/>
        </w:numPr>
        <w:pBdr>
          <w:top w:val="single" w:sz="4" w:space="1" w:color="auto"/>
          <w:left w:val="single" w:sz="4" w:space="4" w:color="auto"/>
          <w:bottom w:val="single" w:sz="4" w:space="1" w:color="auto"/>
          <w:right w:val="single" w:sz="4" w:space="0" w:color="auto"/>
        </w:pBdr>
        <w:rPr>
          <w:lang w:val="en-US" w:eastAsia="zh-CN"/>
        </w:rPr>
      </w:pPr>
      <w:r w:rsidRPr="00F371A9">
        <w:rPr>
          <w:lang w:eastAsia="zh-CN"/>
        </w:rPr>
        <w:t xml:space="preserve">For </w:t>
      </w:r>
      <w:r w:rsidRPr="00F371A9">
        <w:rPr>
          <w:lang w:val="en-US" w:eastAsia="zh-CN"/>
        </w:rPr>
        <w:t>co-existence with ISM band, c</w:t>
      </w:r>
      <w:r w:rsidRPr="00F371A9">
        <w:rPr>
          <w:lang w:eastAsia="zh-CN"/>
        </w:rPr>
        <w:t>ompanies are encouraged to further study whether there is new coexistence issue introduced for 90 and 100 MHz channel BWs.</w:t>
      </w:r>
    </w:p>
    <w:p w:rsidR="00A36CD5" w:rsidRPr="00F371A9" w:rsidRDefault="00F53458" w:rsidP="00F371A9">
      <w:pPr>
        <w:numPr>
          <w:ilvl w:val="1"/>
          <w:numId w:val="33"/>
        </w:numPr>
        <w:pBdr>
          <w:top w:val="single" w:sz="4" w:space="1" w:color="auto"/>
          <w:left w:val="single" w:sz="4" w:space="4" w:color="auto"/>
          <w:bottom w:val="single" w:sz="4" w:space="1" w:color="auto"/>
          <w:right w:val="single" w:sz="4" w:space="0" w:color="auto"/>
        </w:pBdr>
        <w:rPr>
          <w:lang w:val="en-US" w:eastAsia="zh-CN"/>
        </w:rPr>
      </w:pPr>
      <w:r w:rsidRPr="00F371A9">
        <w:rPr>
          <w:lang w:eastAsia="zh-CN"/>
        </w:rPr>
        <w:t xml:space="preserve">For UE co-existence with </w:t>
      </w:r>
      <w:r w:rsidRPr="00F371A9">
        <w:rPr>
          <w:lang w:val="en-US" w:eastAsia="zh-CN"/>
        </w:rPr>
        <w:t xml:space="preserve">the bands 1, 38, 65 and 69 due to IMD5, </w:t>
      </w:r>
      <w:r w:rsidRPr="00F371A9">
        <w:rPr>
          <w:lang w:eastAsia="zh-CN"/>
        </w:rPr>
        <w:t>the -50 dBm/MHz spurious emissions can be met</w:t>
      </w:r>
      <w:r w:rsidRPr="00F371A9">
        <w:rPr>
          <w:lang w:val="en-US" w:eastAsia="zh-CN"/>
        </w:rPr>
        <w:t>.</w:t>
      </w:r>
    </w:p>
    <w:p w:rsidR="00A36CD5" w:rsidRPr="00F371A9" w:rsidRDefault="00F53458" w:rsidP="00F371A9">
      <w:pPr>
        <w:numPr>
          <w:ilvl w:val="1"/>
          <w:numId w:val="33"/>
        </w:numPr>
        <w:pBdr>
          <w:top w:val="single" w:sz="4" w:space="1" w:color="auto"/>
          <w:left w:val="single" w:sz="4" w:space="4" w:color="auto"/>
          <w:bottom w:val="single" w:sz="4" w:space="1" w:color="auto"/>
          <w:right w:val="single" w:sz="4" w:space="0" w:color="auto"/>
        </w:pBdr>
        <w:rPr>
          <w:lang w:val="en-US" w:eastAsia="zh-CN"/>
        </w:rPr>
      </w:pPr>
      <w:r w:rsidRPr="00F371A9">
        <w:rPr>
          <w:lang w:eastAsia="zh-CN"/>
        </w:rPr>
        <w:t>To further investigate the impact on increasing n40 UL CBW as an aggressor to close band proximity MSD</w:t>
      </w:r>
    </w:p>
    <w:p w:rsidR="00F371A9" w:rsidRPr="00F371A9" w:rsidRDefault="00F371A9" w:rsidP="000678DD">
      <w:pPr>
        <w:rPr>
          <w:lang w:val="en-US" w:eastAsia="zh-CN"/>
        </w:rPr>
      </w:pPr>
      <w:r>
        <w:rPr>
          <w:lang w:val="en-US" w:eastAsia="zh-CN"/>
        </w:rPr>
        <w:t>In this paper, we provide further discussion on other remaining issues.</w:t>
      </w:r>
    </w:p>
    <w:p w:rsidR="002A4079" w:rsidRDefault="003679AC" w:rsidP="002A4079">
      <w:pPr>
        <w:pStyle w:val="1"/>
        <w:rPr>
          <w:rFonts w:eastAsia="宋体"/>
          <w:lang w:eastAsia="zh-CN"/>
        </w:rPr>
      </w:pPr>
      <w:bookmarkStart w:id="4" w:name="OLE_LINK1"/>
      <w:bookmarkStart w:id="5" w:name="OLE_LINK2"/>
      <w:r>
        <w:rPr>
          <w:rFonts w:eastAsia="宋体"/>
          <w:lang w:eastAsia="zh-CN"/>
        </w:rPr>
        <w:t>MPR for 100MHz UE channel bandwidth</w:t>
      </w:r>
    </w:p>
    <w:bookmarkEnd w:id="2"/>
    <w:bookmarkEnd w:id="4"/>
    <w:bookmarkEnd w:id="5"/>
    <w:p w:rsidR="003679AC" w:rsidRDefault="003679AC" w:rsidP="00CA4B90">
      <w:pPr>
        <w:rPr>
          <w:lang w:val="en-US" w:eastAsia="zh-CN"/>
        </w:rPr>
      </w:pPr>
      <w:r>
        <w:rPr>
          <w:lang w:val="en-US" w:eastAsia="zh-CN"/>
        </w:rPr>
        <w:t>In the above table, we propose 1dB delta MPR specification on n40 for 100MHz UE channel bandwidth.</w:t>
      </w:r>
    </w:p>
    <w:p w:rsidR="003679AC" w:rsidRDefault="003679AC" w:rsidP="003679AC">
      <w:pPr>
        <w:rPr>
          <w:lang w:val="en-US" w:eastAsia="zh-CN"/>
        </w:rPr>
      </w:pPr>
      <w:r>
        <w:rPr>
          <w:lang w:val="en-US" w:eastAsia="zh-CN"/>
        </w:rPr>
        <w:t>According to the agreement in [2], the limitation for maximum UE channel bandwidth is the relative bandwidth, which is the key to ensure the MPR performance (Memory effects, bandwidth limitation, and output matching Q). The agreement for maximum channel bandwidth criteria in [2] is as follows:</w:t>
      </w:r>
    </w:p>
    <w:p w:rsidR="003679AC" w:rsidRPr="0032256B" w:rsidRDefault="003679AC" w:rsidP="003679AC">
      <w:pPr>
        <w:rPr>
          <w:i/>
          <w:lang w:val="en-US" w:eastAsia="zh-CN"/>
        </w:rPr>
      </w:pPr>
      <w:r w:rsidRPr="0032256B">
        <w:rPr>
          <w:i/>
          <w:lang w:val="en-CA" w:eastAsia="zh-CN"/>
        </w:rPr>
        <w:t>In order to introduce new channel bandwidths in the future we propose to introduce a criteria to decide if the general MPR applies or additional MPR should be evaluated:</w:t>
      </w:r>
    </w:p>
    <w:p w:rsidR="003679AC" w:rsidRPr="0032256B" w:rsidRDefault="003679AC" w:rsidP="003679AC">
      <w:pPr>
        <w:numPr>
          <w:ilvl w:val="0"/>
          <w:numId w:val="31"/>
        </w:numPr>
        <w:rPr>
          <w:i/>
          <w:lang w:val="en-US" w:eastAsia="zh-CN"/>
        </w:rPr>
      </w:pPr>
      <w:r w:rsidRPr="0032256B">
        <w:rPr>
          <w:i/>
          <w:lang w:val="en-CA" w:eastAsia="zh-CN"/>
        </w:rPr>
        <w:t xml:space="preserve">If max UL CH BW rel </w:t>
      </w:r>
      <w:r w:rsidRPr="0032256B">
        <w:rPr>
          <w:i/>
          <w:lang w:eastAsia="zh-CN"/>
        </w:rPr>
        <w:t>≤</w:t>
      </w:r>
      <w:r w:rsidRPr="0032256B">
        <w:rPr>
          <w:i/>
          <w:lang w:val="en-CA" w:eastAsia="zh-CN"/>
        </w:rPr>
        <w:t xml:space="preserve">3% for FDD bands and </w:t>
      </w:r>
      <w:r w:rsidRPr="0032256B">
        <w:rPr>
          <w:i/>
          <w:lang w:eastAsia="zh-CN"/>
        </w:rPr>
        <w:t>≤</w:t>
      </w:r>
      <w:r w:rsidRPr="0032256B">
        <w:rPr>
          <w:i/>
          <w:lang w:val="en-CA" w:eastAsia="zh-CN"/>
        </w:rPr>
        <w:t>4% for TDD bands general MPR requirement applies</w:t>
      </w:r>
    </w:p>
    <w:p w:rsidR="003679AC" w:rsidRPr="0032256B" w:rsidRDefault="003679AC" w:rsidP="003679AC">
      <w:pPr>
        <w:numPr>
          <w:ilvl w:val="0"/>
          <w:numId w:val="31"/>
        </w:numPr>
        <w:rPr>
          <w:lang w:val="en-US" w:eastAsia="zh-CN"/>
        </w:rPr>
      </w:pPr>
      <w:r w:rsidRPr="0032256B">
        <w:rPr>
          <w:i/>
          <w:lang w:val="en-CA" w:eastAsia="zh-CN"/>
        </w:rPr>
        <w:t>If max UL CH BW rel &gt;3% for FDD bands and &gt;4% for TDD bands additional band and channel bandwidth specific MPR should be evaluated</w:t>
      </w:r>
    </w:p>
    <w:p w:rsidR="003679AC" w:rsidRDefault="003679AC" w:rsidP="003679AC">
      <w:pPr>
        <w:rPr>
          <w:lang w:val="en-US" w:eastAsia="zh-CN"/>
        </w:rPr>
      </w:pPr>
      <w:r>
        <w:rPr>
          <w:rFonts w:hint="eastAsia"/>
          <w:lang w:val="en-US" w:eastAsia="zh-CN"/>
        </w:rPr>
        <w:t xml:space="preserve">According to equation of </w:t>
      </w:r>
      <w:r>
        <w:rPr>
          <w:lang w:val="en-US" w:eastAsia="zh-CN"/>
        </w:rPr>
        <w:t xml:space="preserve">maximum relative channel bandwidth as following, </w:t>
      </w:r>
    </w:p>
    <w:p w:rsidR="003679AC" w:rsidRPr="0032256B" w:rsidRDefault="003679AC" w:rsidP="003679AC">
      <w:pPr>
        <w:jc w:val="center"/>
        <w:rPr>
          <w:i/>
          <w:lang w:val="en-US" w:eastAsia="zh-CN"/>
        </w:rPr>
      </w:pPr>
      <w:r w:rsidRPr="0032256B">
        <w:rPr>
          <w:i/>
          <w:lang w:val="en-CA" w:eastAsia="zh-CN"/>
        </w:rPr>
        <w:lastRenderedPageBreak/>
        <w:t>max UL CH BW rel = (2*max CH BW) / (FUL low + FUL high)</w:t>
      </w:r>
    </w:p>
    <w:p w:rsidR="008914B3" w:rsidRDefault="003679AC" w:rsidP="008914B3">
      <w:pPr>
        <w:rPr>
          <w:lang w:val="en-US" w:eastAsia="zh-CN"/>
        </w:rPr>
      </w:pPr>
      <w:r>
        <w:rPr>
          <w:lang w:val="en-US" w:eastAsia="zh-CN"/>
        </w:rPr>
        <w:t>we can calculate the maximum channel bandwidth for NR band n40, which is 94MHz and close to 100MHz.</w:t>
      </w:r>
      <w:r w:rsidR="008914B3">
        <w:rPr>
          <w:lang w:val="en-US" w:eastAsia="zh-CN"/>
        </w:rPr>
        <w:t xml:space="preserve"> It seems feasible to specify 90MHz channel bandwidth without bandwidth specific deltaMPR.</w:t>
      </w:r>
    </w:p>
    <w:p w:rsidR="00B96CB9" w:rsidRDefault="003679AC" w:rsidP="003679AC">
      <w:pPr>
        <w:rPr>
          <w:lang w:val="en-US" w:eastAsia="zh-CN"/>
        </w:rPr>
      </w:pPr>
      <w:r>
        <w:rPr>
          <w:lang w:val="en-US" w:eastAsia="zh-CN"/>
        </w:rPr>
        <w:t xml:space="preserve">According to the agreement above, we see the possibility to define 100MHz UE channel bandwidth, if the proper deltaMPR is defined. </w:t>
      </w:r>
      <w:r w:rsidR="00B96CB9">
        <w:rPr>
          <w:lang w:val="en-US" w:eastAsia="zh-CN"/>
        </w:rPr>
        <w:t>A</w:t>
      </w:r>
      <w:r>
        <w:rPr>
          <w:lang w:val="en-US" w:eastAsia="zh-CN"/>
        </w:rPr>
        <w:t>ccording to the results of series</w:t>
      </w:r>
      <w:r w:rsidR="0014125D">
        <w:rPr>
          <w:lang w:val="en-US" w:eastAsia="zh-CN"/>
        </w:rPr>
        <w:t xml:space="preserve"> of</w:t>
      </w:r>
      <w:r>
        <w:rPr>
          <w:lang w:val="en-US" w:eastAsia="zh-CN"/>
        </w:rPr>
        <w:t xml:space="preserve"> measurements carried </w:t>
      </w:r>
      <w:r w:rsidR="0014125D">
        <w:rPr>
          <w:lang w:val="en-US" w:eastAsia="zh-CN"/>
        </w:rPr>
        <w:t xml:space="preserve">out </w:t>
      </w:r>
      <w:r>
        <w:rPr>
          <w:lang w:val="en-US" w:eastAsia="zh-CN"/>
        </w:rPr>
        <w:t xml:space="preserve">upon PA, </w:t>
      </w:r>
      <w:r w:rsidR="008F2A01">
        <w:rPr>
          <w:lang w:val="en-US" w:eastAsia="zh-CN"/>
        </w:rPr>
        <w:t xml:space="preserve">and </w:t>
      </w:r>
      <w:r w:rsidR="00B96CB9">
        <w:rPr>
          <w:lang w:val="en-US" w:eastAsia="zh-CN"/>
        </w:rPr>
        <w:t>RFIC, 0.5dB~1dB delta is found for ACLR evaluation and no difference for EVM evaluation.</w:t>
      </w:r>
    </w:p>
    <w:p w:rsidR="003679AC" w:rsidRDefault="003679AC" w:rsidP="003679AC">
      <w:pPr>
        <w:rPr>
          <w:lang w:val="en-US" w:eastAsia="zh-CN"/>
        </w:rPr>
      </w:pPr>
      <w:r>
        <w:rPr>
          <w:lang w:val="en-US" w:eastAsia="zh-CN"/>
        </w:rPr>
        <w:t xml:space="preserve">It would be OK when 100MHz channel bandwidth is utilized </w:t>
      </w:r>
      <w:r w:rsidR="0014125D">
        <w:rPr>
          <w:lang w:val="en-US" w:eastAsia="zh-CN"/>
        </w:rPr>
        <w:t xml:space="preserve">if </w:t>
      </w:r>
      <w:r>
        <w:rPr>
          <w:lang w:val="en-US" w:eastAsia="zh-CN"/>
        </w:rPr>
        <w:t xml:space="preserve">the transmission power is reduced </w:t>
      </w:r>
      <w:r w:rsidR="0014125D">
        <w:rPr>
          <w:lang w:val="en-US" w:eastAsia="zh-CN"/>
        </w:rPr>
        <w:t xml:space="preserve">slightly and </w:t>
      </w:r>
      <w:r>
        <w:rPr>
          <w:lang w:val="en-US" w:eastAsia="zh-CN"/>
        </w:rPr>
        <w:t>properly, while when the higher transmission power is needed the smaller BWP or per-UE channel bandwidth can be configured.</w:t>
      </w:r>
    </w:p>
    <w:p w:rsidR="00C92ACB" w:rsidRDefault="00C92ACB" w:rsidP="003679AC">
      <w:pPr>
        <w:rPr>
          <w:lang w:val="en-US" w:eastAsia="zh-CN"/>
        </w:rPr>
      </w:pPr>
      <w:r>
        <w:rPr>
          <w:lang w:val="en-US" w:eastAsia="zh-CN"/>
        </w:rPr>
        <w:t xml:space="preserve">On the other hand, 100 MHz is the whole band for band n40. </w:t>
      </w:r>
      <w:r w:rsidR="00DB64CA">
        <w:rPr>
          <w:lang w:val="en-US" w:eastAsia="zh-CN"/>
        </w:rPr>
        <w:t xml:space="preserve">The attenuation of one example B40 filter is shown in blow figure. </w:t>
      </w:r>
      <w:r>
        <w:rPr>
          <w:lang w:val="en-US" w:eastAsia="zh-CN"/>
        </w:rPr>
        <w:t xml:space="preserve">The filer can provide considerable </w:t>
      </w:r>
      <w:r w:rsidR="00E5676F">
        <w:rPr>
          <w:lang w:val="en-US" w:eastAsia="zh-CN"/>
        </w:rPr>
        <w:t xml:space="preserve">attenuation </w:t>
      </w:r>
      <w:r>
        <w:rPr>
          <w:lang w:val="en-US" w:eastAsia="zh-CN"/>
        </w:rPr>
        <w:t xml:space="preserve">at adjacent channel due to co-existence with ISM band. </w:t>
      </w:r>
      <w:r w:rsidR="006F528B">
        <w:rPr>
          <w:lang w:val="en-US" w:eastAsia="zh-CN"/>
        </w:rPr>
        <w:t xml:space="preserve">Similar observation was made in </w:t>
      </w:r>
      <w:r w:rsidR="005D3539">
        <w:rPr>
          <w:lang w:val="en-US" w:eastAsia="zh-CN"/>
        </w:rPr>
        <w:t>[7].</w:t>
      </w:r>
    </w:p>
    <w:p w:rsidR="00C92ACB" w:rsidRDefault="00C92ACB" w:rsidP="00C92ACB">
      <w:pPr>
        <w:jc w:val="center"/>
        <w:rPr>
          <w:lang w:val="en-US" w:eastAsia="zh-CN"/>
        </w:rPr>
      </w:pPr>
      <w:r>
        <w:rPr>
          <w:noProof/>
          <w:lang w:val="en-US" w:eastAsia="zh-CN"/>
        </w:rPr>
        <w:drawing>
          <wp:inline distT="0" distB="0" distL="0" distR="0">
            <wp:extent cx="3573476" cy="1398317"/>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3755" cy="1425817"/>
                    </a:xfrm>
                    <a:prstGeom prst="rect">
                      <a:avLst/>
                    </a:prstGeom>
                    <a:noFill/>
                    <a:ln>
                      <a:noFill/>
                    </a:ln>
                  </pic:spPr>
                </pic:pic>
              </a:graphicData>
            </a:graphic>
          </wp:inline>
        </w:drawing>
      </w:r>
    </w:p>
    <w:p w:rsidR="006F528B" w:rsidRPr="005D3539" w:rsidRDefault="006F528B" w:rsidP="00CA4B90">
      <w:pPr>
        <w:rPr>
          <w:lang w:val="en-US" w:eastAsia="zh-CN"/>
        </w:rPr>
      </w:pPr>
      <w:r w:rsidRPr="005D3539">
        <w:rPr>
          <w:rFonts w:hint="eastAsia"/>
          <w:lang w:val="en-US" w:eastAsia="zh-CN"/>
        </w:rPr>
        <w:t>B</w:t>
      </w:r>
      <w:r w:rsidRPr="005D3539">
        <w:rPr>
          <w:lang w:val="en-US" w:eastAsia="zh-CN"/>
        </w:rPr>
        <w:t>a</w:t>
      </w:r>
      <w:r w:rsidR="005D3539">
        <w:rPr>
          <w:lang w:val="en-US" w:eastAsia="zh-CN"/>
        </w:rPr>
        <w:t>sed on the discussion above, we propose,</w:t>
      </w:r>
    </w:p>
    <w:p w:rsidR="003679AC" w:rsidRPr="003027A0" w:rsidRDefault="0014125D" w:rsidP="00CA4B90">
      <w:pPr>
        <w:rPr>
          <w:lang w:val="en-US" w:eastAsia="zh-CN"/>
        </w:rPr>
      </w:pPr>
      <w:bookmarkStart w:id="6" w:name="OLE_LINK30"/>
      <w:bookmarkStart w:id="7" w:name="OLE_LINK31"/>
      <w:r w:rsidRPr="0014125D">
        <w:rPr>
          <w:b/>
          <w:lang w:val="en-US" w:eastAsia="zh-CN"/>
        </w:rPr>
        <w:t xml:space="preserve">Proposal 1: </w:t>
      </w:r>
      <w:r w:rsidR="005D3539" w:rsidRPr="003027A0">
        <w:rPr>
          <w:lang w:val="en-US" w:eastAsia="zh-CN"/>
        </w:rPr>
        <w:t>D</w:t>
      </w:r>
      <w:r w:rsidRPr="003027A0">
        <w:rPr>
          <w:lang w:val="en-US" w:eastAsia="zh-CN"/>
        </w:rPr>
        <w:t xml:space="preserve">eltaMPR </w:t>
      </w:r>
      <w:r w:rsidR="005D3539" w:rsidRPr="003027A0">
        <w:rPr>
          <w:lang w:val="en-US" w:eastAsia="zh-CN"/>
        </w:rPr>
        <w:t xml:space="preserve">is not needed </w:t>
      </w:r>
      <w:r w:rsidRPr="003027A0">
        <w:rPr>
          <w:lang w:val="en-US" w:eastAsia="zh-CN"/>
        </w:rPr>
        <w:t xml:space="preserve">for </w:t>
      </w:r>
      <w:r w:rsidR="00954C6A" w:rsidRPr="003027A0">
        <w:rPr>
          <w:lang w:val="en-US" w:eastAsia="zh-CN"/>
        </w:rPr>
        <w:t xml:space="preserve">90 MHz and </w:t>
      </w:r>
      <w:r w:rsidRPr="003027A0">
        <w:rPr>
          <w:lang w:val="en-US" w:eastAsia="zh-CN"/>
        </w:rPr>
        <w:t>100MHz UE channel bandwidth for n40.</w:t>
      </w:r>
    </w:p>
    <w:bookmarkEnd w:id="6"/>
    <w:bookmarkEnd w:id="7"/>
    <w:p w:rsidR="0014125D" w:rsidRDefault="00685CCB" w:rsidP="008F2A01">
      <w:pPr>
        <w:pStyle w:val="1"/>
        <w:rPr>
          <w:rFonts w:eastAsia="宋体"/>
          <w:lang w:eastAsia="zh-CN"/>
        </w:rPr>
      </w:pPr>
      <w:r>
        <w:rPr>
          <w:rFonts w:eastAsia="宋体" w:hint="eastAsia"/>
          <w:lang w:eastAsia="zh-CN"/>
        </w:rPr>
        <w:t>C</w:t>
      </w:r>
      <w:r>
        <w:rPr>
          <w:rFonts w:eastAsia="宋体"/>
          <w:lang w:eastAsia="zh-CN"/>
        </w:rPr>
        <w:t>o-existence with WIFI or Bluetooth</w:t>
      </w:r>
    </w:p>
    <w:p w:rsidR="00CD7FC7" w:rsidRDefault="00B825FF" w:rsidP="00685CCB">
      <w:pPr>
        <w:rPr>
          <w:lang w:eastAsia="zh-CN"/>
        </w:rPr>
      </w:pPr>
      <w:r>
        <w:rPr>
          <w:lang w:eastAsia="zh-CN"/>
        </w:rPr>
        <w:t xml:space="preserve">The interference avoidance for in-device coexistence between LTE band 40 and 2.4 GHz ISM band had been studied in Rel-11 SI </w:t>
      </w:r>
      <w:r>
        <w:rPr>
          <w:rFonts w:hint="eastAsia"/>
          <w:lang w:eastAsia="zh-CN"/>
        </w:rPr>
        <w:t>[</w:t>
      </w:r>
      <w:r>
        <w:rPr>
          <w:lang w:eastAsia="zh-CN"/>
        </w:rPr>
        <w:t xml:space="preserve">6]. </w:t>
      </w:r>
      <w:r w:rsidR="00CD7FC7">
        <w:rPr>
          <w:lang w:eastAsia="zh-CN"/>
        </w:rPr>
        <w:t>The co-existence are guaranteed by implementation measures, such FDM solutions, TDM solutions and power control solutions.</w:t>
      </w:r>
      <w:r w:rsidR="00CD7FC7">
        <w:rPr>
          <w:rFonts w:hint="eastAsia"/>
          <w:lang w:eastAsia="zh-CN"/>
        </w:rPr>
        <w:t xml:space="preserve"> </w:t>
      </w:r>
      <w:r w:rsidR="00CD7FC7">
        <w:rPr>
          <w:lang w:eastAsia="zh-CN"/>
        </w:rPr>
        <w:t>We believe the situation on the co-existence keep unchanged for NR.</w:t>
      </w:r>
    </w:p>
    <w:p w:rsidR="00CD7FC7" w:rsidRDefault="00771D54" w:rsidP="00685CCB">
      <w:pPr>
        <w:rPr>
          <w:lang w:eastAsia="zh-CN"/>
        </w:rPr>
      </w:pPr>
      <w:r>
        <w:rPr>
          <w:lang w:eastAsia="zh-CN"/>
        </w:rPr>
        <w:t>Table 4-1 shows a typical attenuation in the band 40 bandpass filter and Table 4-2</w:t>
      </w:r>
      <w:r w:rsidRPr="00771D54">
        <w:rPr>
          <w:lang w:eastAsia="zh-CN"/>
        </w:rPr>
        <w:t xml:space="preserve"> </w:t>
      </w:r>
      <w:r>
        <w:rPr>
          <w:lang w:eastAsia="zh-CN"/>
        </w:rPr>
        <w:t>shows a typical attenuation in the ISM bandpass filter.</w:t>
      </w:r>
    </w:p>
    <w:p w:rsidR="00771D54" w:rsidRDefault="00771D54" w:rsidP="00771D54">
      <w:pPr>
        <w:pStyle w:val="TH"/>
        <w:rPr>
          <w:lang w:eastAsia="en-GB"/>
        </w:rPr>
      </w:pPr>
      <w:bookmarkStart w:id="8" w:name="_Ref276412095"/>
      <w:r>
        <w:t>Table 4-1</w:t>
      </w:r>
      <w:bookmarkEnd w:id="8"/>
      <w:r>
        <w:t xml:space="preserve">: </w:t>
      </w:r>
      <w:r>
        <w:rPr>
          <w:lang w:eastAsia="zh-CN"/>
        </w:rPr>
        <w:t xml:space="preserve">Typical </w:t>
      </w:r>
      <w:r w:rsidR="008610F2">
        <w:t>attenuation in the</w:t>
      </w:r>
      <w:r>
        <w:t xml:space="preserve"> Band 40 bandpass filter</w:t>
      </w:r>
    </w:p>
    <w:tbl>
      <w:tblPr>
        <w:tblW w:w="6281" w:type="dxa"/>
        <w:jc w:val="center"/>
        <w:tblLayout w:type="fixed"/>
        <w:tblLook w:val="04A0" w:firstRow="1" w:lastRow="0" w:firstColumn="1" w:lastColumn="0" w:noHBand="0" w:noVBand="1"/>
      </w:tblPr>
      <w:tblGrid>
        <w:gridCol w:w="2339"/>
        <w:gridCol w:w="1314"/>
        <w:gridCol w:w="1314"/>
        <w:gridCol w:w="1314"/>
      </w:tblGrid>
      <w:tr w:rsidR="00907CF6" w:rsidTr="00907CF6">
        <w:trPr>
          <w:trHeight w:val="270"/>
          <w:jc w:val="center"/>
        </w:trPr>
        <w:tc>
          <w:tcPr>
            <w:tcW w:w="2339" w:type="dxa"/>
            <w:tcBorders>
              <w:top w:val="single" w:sz="4" w:space="0" w:color="auto"/>
              <w:left w:val="single" w:sz="4" w:space="0" w:color="auto"/>
              <w:bottom w:val="double" w:sz="6" w:space="0" w:color="auto"/>
              <w:right w:val="single" w:sz="4" w:space="0" w:color="auto"/>
            </w:tcBorders>
            <w:noWrap/>
            <w:vAlign w:val="bottom"/>
            <w:hideMark/>
          </w:tcPr>
          <w:p w:rsidR="00907CF6" w:rsidRDefault="00907CF6">
            <w:pPr>
              <w:rPr>
                <w:rFonts w:ascii="Arial" w:eastAsia="Batang" w:hAnsi="Arial" w:cs="Arial"/>
                <w:lang w:val="pt-BR" w:eastAsia="ja-JP"/>
              </w:rPr>
            </w:pPr>
            <w:r>
              <w:rPr>
                <w:rFonts w:ascii="Arial" w:eastAsia="Batang" w:hAnsi="Arial" w:cs="Arial"/>
                <w:lang w:val="pt-BR" w:eastAsia="ja-JP"/>
              </w:rPr>
              <w:t>Freq. (MHz)</w:t>
            </w:r>
          </w:p>
        </w:tc>
        <w:tc>
          <w:tcPr>
            <w:tcW w:w="1314" w:type="dxa"/>
            <w:tcBorders>
              <w:top w:val="single" w:sz="4" w:space="0" w:color="auto"/>
              <w:left w:val="nil"/>
              <w:bottom w:val="double" w:sz="6"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2402-2418</w:t>
            </w:r>
          </w:p>
        </w:tc>
        <w:tc>
          <w:tcPr>
            <w:tcW w:w="1314" w:type="dxa"/>
            <w:tcBorders>
              <w:top w:val="single" w:sz="4" w:space="0" w:color="auto"/>
              <w:left w:val="nil"/>
              <w:bottom w:val="double" w:sz="6"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2418-2436</w:t>
            </w:r>
          </w:p>
        </w:tc>
        <w:tc>
          <w:tcPr>
            <w:tcW w:w="1314" w:type="dxa"/>
            <w:tcBorders>
              <w:top w:val="single" w:sz="4" w:space="0" w:color="auto"/>
              <w:left w:val="nil"/>
              <w:bottom w:val="double" w:sz="6" w:space="0" w:color="auto"/>
              <w:right w:val="single" w:sz="4" w:space="0" w:color="auto"/>
            </w:tcBorders>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2436-2480</w:t>
            </w:r>
          </w:p>
        </w:tc>
      </w:tr>
      <w:tr w:rsidR="00907CF6" w:rsidTr="00907CF6">
        <w:trPr>
          <w:trHeight w:val="270"/>
          <w:jc w:val="center"/>
        </w:trPr>
        <w:tc>
          <w:tcPr>
            <w:tcW w:w="2339" w:type="dxa"/>
            <w:tcBorders>
              <w:top w:val="nil"/>
              <w:left w:val="single" w:sz="4" w:space="0" w:color="auto"/>
              <w:bottom w:val="single" w:sz="4" w:space="0" w:color="auto"/>
              <w:right w:val="single" w:sz="4" w:space="0" w:color="auto"/>
            </w:tcBorders>
            <w:noWrap/>
            <w:vAlign w:val="bottom"/>
            <w:hideMark/>
          </w:tcPr>
          <w:p w:rsidR="00907CF6" w:rsidRDefault="00907CF6">
            <w:pPr>
              <w:rPr>
                <w:rFonts w:ascii="Arial" w:eastAsia="Batang" w:hAnsi="Arial" w:cs="Arial"/>
                <w:lang w:val="pt-BR" w:eastAsia="ja-JP"/>
              </w:rPr>
            </w:pPr>
            <w:r>
              <w:rPr>
                <w:rFonts w:ascii="Arial" w:eastAsia="Batang" w:hAnsi="Arial" w:cs="Arial"/>
                <w:lang w:val="pt-BR" w:eastAsia="ja-JP"/>
              </w:rPr>
              <w:t>T</w:t>
            </w:r>
            <w:r w:rsidRPr="00771D54">
              <w:rPr>
                <w:rFonts w:ascii="Arial" w:eastAsia="Batang" w:hAnsi="Arial" w:cs="Arial"/>
                <w:lang w:val="pt-BR" w:eastAsia="ja-JP"/>
              </w:rPr>
              <w:t xml:space="preserve">ypical </w:t>
            </w:r>
            <w:r>
              <w:rPr>
                <w:rFonts w:ascii="Arial" w:eastAsia="Batang" w:hAnsi="Arial" w:cs="Arial"/>
                <w:lang w:val="pt-BR" w:eastAsia="ja-JP"/>
              </w:rPr>
              <w:t>attenuation</w:t>
            </w:r>
          </w:p>
        </w:tc>
        <w:tc>
          <w:tcPr>
            <w:tcW w:w="1314" w:type="dxa"/>
            <w:tcBorders>
              <w:top w:val="nil"/>
              <w:left w:val="nil"/>
              <w:bottom w:val="single" w:sz="4"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10</w:t>
            </w:r>
          </w:p>
        </w:tc>
        <w:tc>
          <w:tcPr>
            <w:tcW w:w="1314" w:type="dxa"/>
            <w:tcBorders>
              <w:top w:val="nil"/>
              <w:left w:val="nil"/>
              <w:bottom w:val="single" w:sz="4"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39</w:t>
            </w:r>
          </w:p>
        </w:tc>
        <w:tc>
          <w:tcPr>
            <w:tcW w:w="1314" w:type="dxa"/>
            <w:tcBorders>
              <w:top w:val="nil"/>
              <w:left w:val="nil"/>
              <w:bottom w:val="single" w:sz="4" w:space="0" w:color="auto"/>
              <w:right w:val="single" w:sz="4" w:space="0" w:color="auto"/>
            </w:tcBorders>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45</w:t>
            </w:r>
          </w:p>
        </w:tc>
      </w:tr>
    </w:tbl>
    <w:p w:rsidR="00771D54" w:rsidRDefault="00771D54" w:rsidP="00685CCB">
      <w:pPr>
        <w:rPr>
          <w:lang w:eastAsia="zh-CN"/>
        </w:rPr>
      </w:pPr>
    </w:p>
    <w:p w:rsidR="00771D54" w:rsidRDefault="00771D54" w:rsidP="00771D54">
      <w:pPr>
        <w:pStyle w:val="TH"/>
        <w:rPr>
          <w:lang w:eastAsia="en-GB"/>
        </w:rPr>
      </w:pPr>
      <w:bookmarkStart w:id="9" w:name="_Ref276412093"/>
      <w:r>
        <w:t>Table 4-</w:t>
      </w:r>
      <w:bookmarkEnd w:id="9"/>
      <w:r>
        <w:t xml:space="preserve">2: </w:t>
      </w:r>
      <w:r>
        <w:rPr>
          <w:lang w:eastAsia="zh-CN"/>
        </w:rPr>
        <w:t xml:space="preserve">Typical </w:t>
      </w:r>
      <w:r>
        <w:t>attenuation in the ISM bandpass filter</w:t>
      </w:r>
    </w:p>
    <w:tbl>
      <w:tblPr>
        <w:tblW w:w="5826" w:type="dxa"/>
        <w:jc w:val="center"/>
        <w:tblLayout w:type="fixed"/>
        <w:tblLook w:val="04A0" w:firstRow="1" w:lastRow="0" w:firstColumn="1" w:lastColumn="0" w:noHBand="0" w:noVBand="1"/>
      </w:tblPr>
      <w:tblGrid>
        <w:gridCol w:w="2141"/>
        <w:gridCol w:w="1228"/>
        <w:gridCol w:w="1229"/>
        <w:gridCol w:w="1228"/>
      </w:tblGrid>
      <w:tr w:rsidR="00907CF6" w:rsidTr="00907CF6">
        <w:trPr>
          <w:trHeight w:val="270"/>
          <w:jc w:val="center"/>
        </w:trPr>
        <w:tc>
          <w:tcPr>
            <w:tcW w:w="2141" w:type="dxa"/>
            <w:tcBorders>
              <w:top w:val="single" w:sz="4" w:space="0" w:color="auto"/>
              <w:left w:val="single" w:sz="4" w:space="0" w:color="auto"/>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Freq. (MHz)</w:t>
            </w:r>
          </w:p>
        </w:tc>
        <w:tc>
          <w:tcPr>
            <w:tcW w:w="1228"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2300-2370</w:t>
            </w:r>
          </w:p>
        </w:tc>
        <w:tc>
          <w:tcPr>
            <w:tcW w:w="1229"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2370-2380</w:t>
            </w:r>
          </w:p>
        </w:tc>
        <w:tc>
          <w:tcPr>
            <w:tcW w:w="1228"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2380-2400</w:t>
            </w:r>
          </w:p>
        </w:tc>
      </w:tr>
      <w:tr w:rsidR="00907CF6" w:rsidTr="00907CF6">
        <w:trPr>
          <w:trHeight w:val="270"/>
          <w:jc w:val="center"/>
        </w:trPr>
        <w:tc>
          <w:tcPr>
            <w:tcW w:w="2141" w:type="dxa"/>
            <w:tcBorders>
              <w:top w:val="nil"/>
              <w:left w:val="single" w:sz="4" w:space="0" w:color="auto"/>
              <w:bottom w:val="single" w:sz="4"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T</w:t>
            </w:r>
            <w:r w:rsidRPr="00771D54">
              <w:rPr>
                <w:rFonts w:ascii="Arial" w:eastAsia="Batang" w:hAnsi="Arial" w:cs="Arial"/>
                <w:lang w:val="pt-BR" w:eastAsia="ja-JP"/>
              </w:rPr>
              <w:t xml:space="preserve">ypical </w:t>
            </w:r>
            <w:r>
              <w:rPr>
                <w:rFonts w:ascii="Arial" w:eastAsia="Batang" w:hAnsi="Arial" w:cs="Arial"/>
                <w:lang w:val="pt-BR" w:eastAsia="ja-JP"/>
              </w:rPr>
              <w:t>attenuation</w:t>
            </w:r>
          </w:p>
        </w:tc>
        <w:tc>
          <w:tcPr>
            <w:tcW w:w="1228"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50</w:t>
            </w:r>
          </w:p>
        </w:tc>
        <w:tc>
          <w:tcPr>
            <w:tcW w:w="1229"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40</w:t>
            </w:r>
          </w:p>
        </w:tc>
        <w:tc>
          <w:tcPr>
            <w:tcW w:w="1228"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4</w:t>
            </w:r>
          </w:p>
        </w:tc>
      </w:tr>
    </w:tbl>
    <w:p w:rsidR="008610F2" w:rsidRDefault="008610F2" w:rsidP="00685CCB">
      <w:pPr>
        <w:rPr>
          <w:lang w:eastAsia="zh-CN"/>
        </w:rPr>
      </w:pPr>
    </w:p>
    <w:p w:rsidR="008F2A01" w:rsidRDefault="008610F2" w:rsidP="008F2A01">
      <w:pPr>
        <w:rPr>
          <w:lang w:eastAsia="zh-CN"/>
        </w:rPr>
      </w:pPr>
      <w:r>
        <w:rPr>
          <w:rFonts w:hint="eastAsia"/>
          <w:lang w:eastAsia="zh-CN"/>
        </w:rPr>
        <w:t>A</w:t>
      </w:r>
      <w:r>
        <w:rPr>
          <w:lang w:eastAsia="zh-CN"/>
        </w:rPr>
        <w:t xml:space="preserve">s shown in Table 4-1 and 4-2, the attenuation is small to the adjacent interference. </w:t>
      </w:r>
      <w:r>
        <w:rPr>
          <w:rFonts w:hint="eastAsia"/>
          <w:lang w:eastAsia="zh-CN"/>
        </w:rPr>
        <w:t>D</w:t>
      </w:r>
      <w:r>
        <w:rPr>
          <w:lang w:eastAsia="zh-CN"/>
        </w:rPr>
        <w:t xml:space="preserve">ue to band 40 and 2.4GHz ISM band are adjacent, </w:t>
      </w:r>
      <w:bookmarkStart w:id="10" w:name="OLE_LINK28"/>
      <w:bookmarkStart w:id="11" w:name="OLE_LINK29"/>
      <w:r>
        <w:rPr>
          <w:lang w:eastAsia="zh-CN"/>
        </w:rPr>
        <w:t>the whole n40 band will suffer large blocking from WIFI or BT TX in the frequency range 2400~2418</w:t>
      </w:r>
      <w:bookmarkEnd w:id="10"/>
      <w:bookmarkEnd w:id="11"/>
      <w:r w:rsidR="00100D14">
        <w:rPr>
          <w:lang w:eastAsia="zh-CN"/>
        </w:rPr>
        <w:t>, and correspondingly, the WIFI or BT will suffer blocking from n40 TX in upper edge frequency 2380~2400.</w:t>
      </w:r>
      <w:r w:rsidR="00954C6A">
        <w:rPr>
          <w:lang w:eastAsia="zh-CN"/>
        </w:rPr>
        <w:t xml:space="preserve"> We can observe that n</w:t>
      </w:r>
      <w:r w:rsidR="00685CCB">
        <w:rPr>
          <w:lang w:eastAsia="zh-CN"/>
        </w:rPr>
        <w:t>o new issue is introduced for the case 100 MHz CBW</w:t>
      </w:r>
      <w:r w:rsidR="00954C6A">
        <w:rPr>
          <w:lang w:eastAsia="zh-CN"/>
        </w:rPr>
        <w:t>. The co-existence are guaranteed by implementation measures in</w:t>
      </w:r>
      <w:r w:rsidR="00685CCB">
        <w:rPr>
          <w:lang w:eastAsia="zh-CN"/>
        </w:rPr>
        <w:t xml:space="preserve"> frequency domain, time domain</w:t>
      </w:r>
      <w:r w:rsidR="00954C6A">
        <w:rPr>
          <w:lang w:eastAsia="zh-CN"/>
        </w:rPr>
        <w:t>,</w:t>
      </w:r>
      <w:r w:rsidR="00685CCB">
        <w:rPr>
          <w:lang w:eastAsia="zh-CN"/>
        </w:rPr>
        <w:t xml:space="preserve"> power domain</w:t>
      </w:r>
      <w:r w:rsidR="00954C6A">
        <w:rPr>
          <w:lang w:eastAsia="zh-CN"/>
        </w:rPr>
        <w:t xml:space="preserve"> or their combinations</w:t>
      </w:r>
      <w:r w:rsidR="00685CCB">
        <w:rPr>
          <w:lang w:eastAsia="zh-CN"/>
        </w:rPr>
        <w:t>.</w:t>
      </w:r>
    </w:p>
    <w:p w:rsidR="008914B3" w:rsidRDefault="008914B3" w:rsidP="008F2A01">
      <w:pPr>
        <w:rPr>
          <w:lang w:eastAsia="zh-CN"/>
        </w:rPr>
      </w:pPr>
      <w:r w:rsidRPr="00FA0F0A">
        <w:rPr>
          <w:b/>
          <w:lang w:eastAsia="zh-CN"/>
        </w:rPr>
        <w:t>Proposal 2</w:t>
      </w:r>
      <w:r>
        <w:rPr>
          <w:lang w:eastAsia="zh-CN"/>
        </w:rPr>
        <w:t>: no new issue is introduced for the case 100 MHz CBW for co-existence with ISM band.</w:t>
      </w:r>
    </w:p>
    <w:p w:rsidR="00A36CD5" w:rsidRDefault="009843C2" w:rsidP="009843C2">
      <w:pPr>
        <w:pStyle w:val="1"/>
        <w:rPr>
          <w:lang w:eastAsia="zh-CN"/>
        </w:rPr>
      </w:pPr>
      <w:r>
        <w:rPr>
          <w:lang w:eastAsia="zh-CN"/>
        </w:rPr>
        <w:t>C</w:t>
      </w:r>
      <w:r w:rsidR="00F53458" w:rsidRPr="009843C2">
        <w:rPr>
          <w:lang w:eastAsia="zh-CN"/>
        </w:rPr>
        <w:t>lose band proximity MSD</w:t>
      </w:r>
    </w:p>
    <w:p w:rsidR="009843C2" w:rsidRDefault="009843C2" w:rsidP="009843C2">
      <w:pPr>
        <w:rPr>
          <w:lang w:eastAsia="zh-CN"/>
        </w:rPr>
      </w:pPr>
      <w:r>
        <w:rPr>
          <w:lang w:eastAsia="zh-CN"/>
        </w:rPr>
        <w:t xml:space="preserve">According to TS 38.101-1, </w:t>
      </w:r>
      <w:r w:rsidR="002C2D5E">
        <w:rPr>
          <w:lang w:eastAsia="zh-CN"/>
        </w:rPr>
        <w:t>there is a MSD issue for CA_n1A-n40A for n40 UL as an aggressor.</w:t>
      </w:r>
    </w:p>
    <w:p w:rsidR="009843C2" w:rsidRPr="00A1115A" w:rsidRDefault="009843C2" w:rsidP="009843C2">
      <w:pPr>
        <w:pStyle w:val="TH"/>
      </w:pPr>
      <w:bookmarkStart w:id="12" w:name="_Hlk52718931"/>
      <w:r>
        <w:lastRenderedPageBreak/>
        <w:t>Table 4</w:t>
      </w:r>
      <w:r w:rsidRPr="00A1115A">
        <w:t>-1</w:t>
      </w:r>
      <w:bookmarkEnd w:id="12"/>
      <w:r w:rsidRPr="00A1115A">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843C2" w:rsidRPr="00A1115A" w:rsidTr="00431C1B">
        <w:trPr>
          <w:jc w:val="center"/>
        </w:trPr>
        <w:tc>
          <w:tcPr>
            <w:tcW w:w="9060" w:type="dxa"/>
            <w:gridSpan w:val="15"/>
          </w:tcPr>
          <w:p w:rsidR="009843C2" w:rsidRPr="00A1115A" w:rsidRDefault="009843C2" w:rsidP="00431C1B">
            <w:pPr>
              <w:pStyle w:val="TAH"/>
              <w:rPr>
                <w:lang w:val="en-US" w:eastAsia="ja-JP"/>
              </w:rPr>
            </w:pPr>
            <w:r w:rsidRPr="00A1115A">
              <w:rPr>
                <w:lang w:eastAsia="ja-JP"/>
              </w:rPr>
              <w:t>NR Band / Channel bandwidth</w:t>
            </w:r>
            <w:r w:rsidRPr="00A1115A">
              <w:t xml:space="preserve"> </w:t>
            </w:r>
            <w:r w:rsidRPr="00A1115A">
              <w:rPr>
                <w:lang w:eastAsia="ja-JP"/>
              </w:rPr>
              <w:t>of the affected DL band</w:t>
            </w:r>
          </w:p>
        </w:tc>
      </w:tr>
      <w:tr w:rsidR="009843C2" w:rsidRPr="00A1115A" w:rsidTr="00431C1B">
        <w:trPr>
          <w:jc w:val="center"/>
        </w:trPr>
        <w:tc>
          <w:tcPr>
            <w:tcW w:w="665" w:type="dxa"/>
          </w:tcPr>
          <w:p w:rsidR="009843C2" w:rsidRPr="00A1115A" w:rsidRDefault="009843C2" w:rsidP="00431C1B">
            <w:pPr>
              <w:pStyle w:val="TAH"/>
              <w:rPr>
                <w:lang w:eastAsia="ja-JP"/>
              </w:rPr>
            </w:pPr>
            <w:r w:rsidRPr="00A1115A">
              <w:rPr>
                <w:lang w:eastAsia="ja-JP"/>
              </w:rPr>
              <w:t>UL band</w:t>
            </w:r>
          </w:p>
        </w:tc>
        <w:tc>
          <w:tcPr>
            <w:tcW w:w="610" w:type="dxa"/>
          </w:tcPr>
          <w:p w:rsidR="009843C2" w:rsidRPr="00A1115A" w:rsidRDefault="009843C2" w:rsidP="00431C1B">
            <w:pPr>
              <w:pStyle w:val="TAH"/>
              <w:rPr>
                <w:lang w:eastAsia="ja-JP"/>
              </w:rPr>
            </w:pPr>
            <w:r w:rsidRPr="00A1115A">
              <w:rPr>
                <w:lang w:eastAsia="ja-JP"/>
              </w:rPr>
              <w:t>DL band</w:t>
            </w:r>
          </w:p>
        </w:tc>
        <w:tc>
          <w:tcPr>
            <w:tcW w:w="598" w:type="dxa"/>
          </w:tcPr>
          <w:p w:rsidR="009843C2" w:rsidRPr="00A1115A" w:rsidRDefault="009843C2" w:rsidP="00431C1B">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98" w:type="dxa"/>
          </w:tcPr>
          <w:p w:rsidR="009843C2" w:rsidRPr="00A1115A" w:rsidRDefault="009843C2" w:rsidP="00431C1B">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98" w:type="dxa"/>
          </w:tcPr>
          <w:p w:rsidR="009843C2" w:rsidRPr="00A1115A" w:rsidRDefault="009843C2" w:rsidP="00431C1B">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98" w:type="dxa"/>
          </w:tcPr>
          <w:p w:rsidR="009843C2" w:rsidRPr="00A1115A" w:rsidRDefault="009843C2" w:rsidP="00431C1B">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98" w:type="dxa"/>
          </w:tcPr>
          <w:p w:rsidR="009843C2" w:rsidRPr="00A1115A" w:rsidRDefault="009843C2" w:rsidP="00431C1B">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98" w:type="dxa"/>
          </w:tcPr>
          <w:p w:rsidR="009843C2" w:rsidRPr="00A1115A" w:rsidRDefault="009843C2" w:rsidP="00431C1B">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98" w:type="dxa"/>
          </w:tcPr>
          <w:p w:rsidR="009843C2" w:rsidRPr="00A1115A" w:rsidRDefault="009843C2" w:rsidP="00431C1B">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98" w:type="dxa"/>
          </w:tcPr>
          <w:p w:rsidR="009843C2" w:rsidRPr="00A1115A" w:rsidRDefault="009843C2" w:rsidP="00431C1B">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98" w:type="dxa"/>
          </w:tcPr>
          <w:p w:rsidR="009843C2" w:rsidRPr="00A1115A" w:rsidRDefault="009843C2" w:rsidP="00431C1B">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98" w:type="dxa"/>
          </w:tcPr>
          <w:p w:rsidR="009843C2" w:rsidRPr="00A1115A" w:rsidRDefault="009843C2" w:rsidP="00431C1B">
            <w:pPr>
              <w:pStyle w:val="TAH"/>
              <w:rPr>
                <w:lang w:val="en-US" w:eastAsia="zh-CN"/>
              </w:rPr>
            </w:pPr>
            <w:r w:rsidRPr="00A1115A">
              <w:rPr>
                <w:rFonts w:hint="eastAsia"/>
                <w:lang w:val="en-US" w:eastAsia="zh-CN"/>
              </w:rPr>
              <w:t>70</w:t>
            </w:r>
          </w:p>
          <w:p w:rsidR="009843C2" w:rsidRPr="00A1115A" w:rsidRDefault="009843C2" w:rsidP="00431C1B">
            <w:pPr>
              <w:pStyle w:val="TAH"/>
              <w:rPr>
                <w:lang w:val="en-US" w:eastAsia="zh-CN"/>
              </w:rPr>
            </w:pPr>
            <w:r w:rsidRPr="00A1115A">
              <w:rPr>
                <w:rFonts w:hint="eastAsia"/>
                <w:lang w:val="en-US" w:eastAsia="zh-CN"/>
              </w:rPr>
              <w:t>MHz</w:t>
            </w:r>
          </w:p>
          <w:p w:rsidR="009843C2" w:rsidRPr="00A1115A" w:rsidRDefault="009843C2" w:rsidP="00431C1B">
            <w:pPr>
              <w:pStyle w:val="TAH"/>
              <w:rPr>
                <w:lang w:val="en-US" w:eastAsia="zh-CN"/>
              </w:rPr>
            </w:pPr>
            <w:r w:rsidRPr="00A1115A">
              <w:rPr>
                <w:rFonts w:hint="eastAsia"/>
                <w:lang w:val="en-US" w:eastAsia="zh-CN"/>
              </w:rPr>
              <w:t>(dB)</w:t>
            </w:r>
          </w:p>
        </w:tc>
        <w:tc>
          <w:tcPr>
            <w:tcW w:w="598" w:type="dxa"/>
          </w:tcPr>
          <w:p w:rsidR="009843C2" w:rsidRPr="00A1115A" w:rsidRDefault="009843C2" w:rsidP="00431C1B">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98" w:type="dxa"/>
          </w:tcPr>
          <w:p w:rsidR="009843C2" w:rsidRPr="00A1115A" w:rsidRDefault="009843C2" w:rsidP="00431C1B">
            <w:pPr>
              <w:pStyle w:val="TAH"/>
              <w:rPr>
                <w:lang w:eastAsia="ja-JP"/>
              </w:rPr>
            </w:pPr>
            <w:r w:rsidRPr="00A1115A">
              <w:rPr>
                <w:lang w:val="en-US" w:eastAsia="ja-JP"/>
              </w:rPr>
              <w:t>90 MHz</w:t>
            </w:r>
            <w:r w:rsidRPr="00A1115A">
              <w:rPr>
                <w:rFonts w:hint="eastAsia"/>
                <w:lang w:val="en-US" w:eastAsia="zh-CN"/>
              </w:rPr>
              <w:t xml:space="preserve"> (dB)</w:t>
            </w:r>
          </w:p>
        </w:tc>
        <w:tc>
          <w:tcPr>
            <w:tcW w:w="609" w:type="dxa"/>
          </w:tcPr>
          <w:p w:rsidR="009843C2" w:rsidRPr="00A1115A" w:rsidRDefault="009843C2" w:rsidP="00431C1B">
            <w:pPr>
              <w:pStyle w:val="TAH"/>
              <w:rPr>
                <w:lang w:val="en-US" w:eastAsia="ja-JP"/>
              </w:rPr>
            </w:pPr>
            <w:r w:rsidRPr="00A1115A">
              <w:rPr>
                <w:rFonts w:hint="eastAsia"/>
                <w:lang w:val="en-US" w:eastAsia="ja-JP"/>
              </w:rPr>
              <w:t>100 MHz (dB)</w:t>
            </w:r>
          </w:p>
        </w:tc>
      </w:tr>
      <w:tr w:rsidR="009843C2" w:rsidRPr="00A1115A" w:rsidTr="00431C1B">
        <w:trPr>
          <w:jc w:val="center"/>
        </w:trPr>
        <w:tc>
          <w:tcPr>
            <w:tcW w:w="665" w:type="dxa"/>
          </w:tcPr>
          <w:p w:rsidR="009843C2" w:rsidRPr="00A1115A" w:rsidRDefault="009843C2" w:rsidP="00431C1B">
            <w:pPr>
              <w:pStyle w:val="TAC"/>
              <w:rPr>
                <w:lang w:val="en-US" w:eastAsia="zh-CN"/>
              </w:rPr>
            </w:pPr>
            <w:r w:rsidRPr="00A1115A">
              <w:rPr>
                <w:lang w:val="en-US" w:eastAsia="zh-CN"/>
              </w:rPr>
              <w:t>n40</w:t>
            </w:r>
          </w:p>
        </w:tc>
        <w:tc>
          <w:tcPr>
            <w:tcW w:w="610" w:type="dxa"/>
          </w:tcPr>
          <w:p w:rsidR="009843C2" w:rsidRPr="00A1115A" w:rsidRDefault="009843C2" w:rsidP="00431C1B">
            <w:pPr>
              <w:pStyle w:val="TAC"/>
              <w:rPr>
                <w:lang w:val="en-US" w:eastAsia="zh-CN"/>
              </w:rPr>
            </w:pPr>
            <w:r w:rsidRPr="00A1115A">
              <w:rPr>
                <w:lang w:val="en-US" w:eastAsia="zh-CN"/>
              </w:rPr>
              <w:t>n1</w:t>
            </w:r>
          </w:p>
        </w:tc>
        <w:tc>
          <w:tcPr>
            <w:tcW w:w="598" w:type="dxa"/>
          </w:tcPr>
          <w:p w:rsidR="009843C2" w:rsidRPr="00A1115A" w:rsidRDefault="009843C2" w:rsidP="00431C1B">
            <w:pPr>
              <w:pStyle w:val="TAC"/>
              <w:rPr>
                <w:lang w:val="en-US" w:eastAsia="zh-CN"/>
              </w:rPr>
            </w:pPr>
            <w:r w:rsidRPr="00A1115A">
              <w:t>8.3</w:t>
            </w:r>
          </w:p>
        </w:tc>
        <w:tc>
          <w:tcPr>
            <w:tcW w:w="598" w:type="dxa"/>
          </w:tcPr>
          <w:p w:rsidR="009843C2" w:rsidRPr="00A1115A" w:rsidRDefault="009843C2" w:rsidP="00431C1B">
            <w:pPr>
              <w:pStyle w:val="TAC"/>
              <w:rPr>
                <w:lang w:val="en-US" w:eastAsia="zh-CN"/>
              </w:rPr>
            </w:pPr>
            <w:r w:rsidRPr="00A1115A">
              <w:t>8.3</w:t>
            </w:r>
          </w:p>
        </w:tc>
        <w:tc>
          <w:tcPr>
            <w:tcW w:w="598" w:type="dxa"/>
          </w:tcPr>
          <w:p w:rsidR="009843C2" w:rsidRPr="00A1115A" w:rsidRDefault="009843C2" w:rsidP="00431C1B">
            <w:pPr>
              <w:pStyle w:val="TAC"/>
              <w:rPr>
                <w:lang w:val="en-US" w:eastAsia="zh-CN"/>
              </w:rPr>
            </w:pPr>
            <w:r w:rsidRPr="00A1115A">
              <w:t>8.3</w:t>
            </w:r>
          </w:p>
        </w:tc>
        <w:tc>
          <w:tcPr>
            <w:tcW w:w="598" w:type="dxa"/>
          </w:tcPr>
          <w:p w:rsidR="009843C2" w:rsidRPr="00A1115A" w:rsidRDefault="009843C2" w:rsidP="00431C1B">
            <w:pPr>
              <w:pStyle w:val="TAC"/>
              <w:rPr>
                <w:lang w:val="en-US" w:eastAsia="zh-CN"/>
              </w:rPr>
            </w:pPr>
            <w:r w:rsidRPr="00A1115A">
              <w:t>8.3</w:t>
            </w:r>
          </w:p>
        </w:tc>
        <w:tc>
          <w:tcPr>
            <w:tcW w:w="598" w:type="dxa"/>
          </w:tcPr>
          <w:p w:rsidR="009843C2" w:rsidRPr="00A1115A" w:rsidRDefault="009843C2" w:rsidP="00431C1B">
            <w:pPr>
              <w:pStyle w:val="TAC"/>
              <w:rPr>
                <w:lang w:val="en-US" w:eastAsia="zh-CN"/>
              </w:rPr>
            </w:pPr>
          </w:p>
        </w:tc>
        <w:tc>
          <w:tcPr>
            <w:tcW w:w="598" w:type="dxa"/>
          </w:tcPr>
          <w:p w:rsidR="009843C2" w:rsidRPr="00A1115A" w:rsidRDefault="009843C2" w:rsidP="00431C1B">
            <w:pPr>
              <w:pStyle w:val="TAC"/>
              <w:rPr>
                <w:lang w:val="en-US" w:eastAsia="zh-CN"/>
              </w:rPr>
            </w:pPr>
          </w:p>
        </w:tc>
        <w:tc>
          <w:tcPr>
            <w:tcW w:w="598" w:type="dxa"/>
          </w:tcPr>
          <w:p w:rsidR="009843C2" w:rsidRPr="00A1115A" w:rsidRDefault="009843C2" w:rsidP="00431C1B">
            <w:pPr>
              <w:pStyle w:val="TAC"/>
            </w:pPr>
          </w:p>
        </w:tc>
        <w:tc>
          <w:tcPr>
            <w:tcW w:w="598" w:type="dxa"/>
          </w:tcPr>
          <w:p w:rsidR="009843C2" w:rsidRPr="00A1115A" w:rsidRDefault="009843C2" w:rsidP="00431C1B">
            <w:pPr>
              <w:pStyle w:val="TAC"/>
            </w:pPr>
          </w:p>
        </w:tc>
        <w:tc>
          <w:tcPr>
            <w:tcW w:w="598" w:type="dxa"/>
          </w:tcPr>
          <w:p w:rsidR="009843C2" w:rsidRPr="00A1115A" w:rsidRDefault="009843C2" w:rsidP="00431C1B">
            <w:pPr>
              <w:pStyle w:val="TAC"/>
            </w:pPr>
          </w:p>
        </w:tc>
        <w:tc>
          <w:tcPr>
            <w:tcW w:w="598" w:type="dxa"/>
          </w:tcPr>
          <w:p w:rsidR="009843C2" w:rsidRPr="00A1115A" w:rsidRDefault="009843C2" w:rsidP="00431C1B">
            <w:pPr>
              <w:pStyle w:val="TAC"/>
            </w:pPr>
          </w:p>
        </w:tc>
        <w:tc>
          <w:tcPr>
            <w:tcW w:w="598" w:type="dxa"/>
          </w:tcPr>
          <w:p w:rsidR="009843C2" w:rsidRPr="00A1115A" w:rsidRDefault="009843C2" w:rsidP="00431C1B">
            <w:pPr>
              <w:pStyle w:val="TAC"/>
            </w:pPr>
          </w:p>
        </w:tc>
        <w:tc>
          <w:tcPr>
            <w:tcW w:w="598" w:type="dxa"/>
          </w:tcPr>
          <w:p w:rsidR="009843C2" w:rsidRPr="00A1115A" w:rsidRDefault="009843C2" w:rsidP="00431C1B">
            <w:pPr>
              <w:pStyle w:val="TAC"/>
            </w:pPr>
          </w:p>
        </w:tc>
        <w:tc>
          <w:tcPr>
            <w:tcW w:w="609" w:type="dxa"/>
          </w:tcPr>
          <w:p w:rsidR="009843C2" w:rsidRPr="00A1115A" w:rsidRDefault="009843C2" w:rsidP="00431C1B">
            <w:pPr>
              <w:pStyle w:val="TAC"/>
            </w:pPr>
          </w:p>
        </w:tc>
      </w:tr>
    </w:tbl>
    <w:p w:rsidR="009843C2" w:rsidRDefault="009843C2" w:rsidP="008F2A01">
      <w:pPr>
        <w:rPr>
          <w:lang w:eastAsia="zh-CN"/>
        </w:rPr>
      </w:pPr>
    </w:p>
    <w:p w:rsidR="002C2D5E" w:rsidRPr="00A1115A" w:rsidRDefault="002C2D5E" w:rsidP="002C2D5E">
      <w:pPr>
        <w:pStyle w:val="TH"/>
      </w:pPr>
      <w:r>
        <w:t>Table 4-</w:t>
      </w:r>
      <w:r w:rsidRPr="00A1115A">
        <w:t>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2C2D5E" w:rsidRPr="00A1115A" w:rsidTr="00431C1B">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lang w:eastAsia="ja-JP"/>
              </w:rPr>
              <w:t>NR Band / SCS / Channel bandwidth of the affected DL band</w:t>
            </w:r>
          </w:p>
        </w:tc>
      </w:tr>
      <w:tr w:rsidR="002C2D5E" w:rsidRPr="00A1115A" w:rsidTr="00431C1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zh-CN"/>
              </w:rPr>
            </w:pPr>
            <w:r w:rsidRPr="00A1115A">
              <w:rPr>
                <w:rFonts w:hint="eastAsia"/>
                <w:lang w:val="en-US" w:eastAsia="zh-CN"/>
              </w:rPr>
              <w:t>70</w:t>
            </w:r>
          </w:p>
          <w:p w:rsidR="002C2D5E" w:rsidRPr="00A1115A" w:rsidRDefault="002C2D5E" w:rsidP="00431C1B">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2C2D5E" w:rsidRPr="00A1115A" w:rsidRDefault="002C2D5E" w:rsidP="00431C1B">
            <w:pPr>
              <w:pStyle w:val="TAH"/>
              <w:rPr>
                <w:lang w:val="en-US" w:eastAsia="ja-JP"/>
              </w:rPr>
            </w:pPr>
            <w:r w:rsidRPr="00A1115A">
              <w:rPr>
                <w:rFonts w:hint="eastAsia"/>
                <w:lang w:val="en-US" w:eastAsia="ja-JP"/>
              </w:rPr>
              <w:t>100 MHz</w:t>
            </w:r>
          </w:p>
        </w:tc>
      </w:tr>
      <w:tr w:rsidR="002C2D5E" w:rsidRPr="00A1115A" w:rsidTr="00431C1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r w:rsidRPr="00A1115A">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2D5E" w:rsidRPr="00A1115A" w:rsidRDefault="002C2D5E" w:rsidP="00431C1B">
            <w:pPr>
              <w:pStyle w:val="TAC"/>
              <w:rPr>
                <w:lang w:val="en-US" w:eastAsia="zh-CN"/>
              </w:rPr>
            </w:pPr>
          </w:p>
        </w:tc>
      </w:tr>
    </w:tbl>
    <w:p w:rsidR="002C2D5E" w:rsidRPr="00A1115A" w:rsidRDefault="002C2D5E" w:rsidP="002C2D5E">
      <w:pPr>
        <w:rPr>
          <w:lang w:eastAsia="zh-CN"/>
        </w:rPr>
      </w:pPr>
    </w:p>
    <w:p w:rsidR="002C2D5E" w:rsidRDefault="002C2D5E" w:rsidP="008F2A01">
      <w:pPr>
        <w:rPr>
          <w:lang w:eastAsia="zh-CN"/>
        </w:rPr>
      </w:pPr>
      <w:r>
        <w:rPr>
          <w:lang w:eastAsia="zh-CN"/>
        </w:rPr>
        <w:t>From the spec we can find that the max n40 uplink configuration is 100 RB. The wider channel bandwidth is not the interest of the CA_n1A-n40A. Hence we think the MSD can be defined in the future when we see the request in the CA basket WI.</w:t>
      </w:r>
    </w:p>
    <w:p w:rsidR="002C2D5E" w:rsidRDefault="002C2D5E" w:rsidP="008F2A01">
      <w:pPr>
        <w:rPr>
          <w:lang w:eastAsia="zh-CN"/>
        </w:rPr>
      </w:pPr>
      <w:r w:rsidRPr="002C2D5E">
        <w:rPr>
          <w:b/>
          <w:lang w:eastAsia="zh-CN"/>
        </w:rPr>
        <w:t>Proposal 3:</w:t>
      </w:r>
      <w:r>
        <w:rPr>
          <w:lang w:eastAsia="zh-CN"/>
        </w:rPr>
        <w:t xml:space="preserve"> further c</w:t>
      </w:r>
      <w:r w:rsidRPr="002C2D5E">
        <w:rPr>
          <w:lang w:eastAsia="zh-CN"/>
        </w:rPr>
        <w:t>lose band proximity MSD</w:t>
      </w:r>
      <w:r>
        <w:rPr>
          <w:lang w:eastAsia="zh-CN"/>
        </w:rPr>
        <w:t xml:space="preserve"> for n40 wider channel bandwidth should be defined in the future when we see the request in the CA basket WI.</w:t>
      </w:r>
    </w:p>
    <w:p w:rsidR="003027A0" w:rsidRDefault="003027A0" w:rsidP="003027A0">
      <w:pPr>
        <w:pStyle w:val="1"/>
        <w:rPr>
          <w:rFonts w:eastAsia="宋体"/>
          <w:lang w:eastAsia="zh-CN"/>
        </w:rPr>
      </w:pPr>
      <w:r>
        <w:rPr>
          <w:rFonts w:eastAsia="宋体"/>
          <w:lang w:eastAsia="zh-CN"/>
        </w:rPr>
        <w:t>n41 co-existence</w:t>
      </w:r>
    </w:p>
    <w:p w:rsidR="00A36CD5" w:rsidRPr="003027A0" w:rsidRDefault="003027A0" w:rsidP="003027A0">
      <w:pPr>
        <w:rPr>
          <w:lang w:eastAsia="zh-CN"/>
        </w:rPr>
      </w:pPr>
      <w:r>
        <w:rPr>
          <w:lang w:eastAsia="zh-CN"/>
        </w:rPr>
        <w:t>T</w:t>
      </w:r>
      <w:r>
        <w:rPr>
          <w:rFonts w:hint="eastAsia"/>
          <w:lang w:eastAsia="zh-CN"/>
        </w:rPr>
        <w:t>h</w:t>
      </w:r>
      <w:r>
        <w:rPr>
          <w:lang w:eastAsia="zh-CN"/>
        </w:rPr>
        <w:t>e analysis and measurements results can be found in [9</w:t>
      </w:r>
      <w:r>
        <w:rPr>
          <w:rFonts w:hint="eastAsia"/>
          <w:lang w:eastAsia="zh-CN"/>
        </w:rPr>
        <w:t>],</w:t>
      </w:r>
      <w:r>
        <w:rPr>
          <w:lang w:eastAsia="zh-CN"/>
        </w:rPr>
        <w:t xml:space="preserve"> i</w:t>
      </w:r>
      <w:r w:rsidRPr="003027A0">
        <w:rPr>
          <w:lang w:eastAsia="zh-CN"/>
        </w:rPr>
        <w:t>n general the spurious emission is defined as -30 dBm/MHz without filter rejection assumed. With larger than 20 dB filter rejection, -50 dBm/MHz co-existence can be met</w:t>
      </w:r>
      <w:r>
        <w:rPr>
          <w:lang w:eastAsia="zh-CN"/>
        </w:rPr>
        <w:t xml:space="preserve"> without A-MPR. </w:t>
      </w:r>
      <w:r w:rsidR="00F53458" w:rsidRPr="003027A0">
        <w:rPr>
          <w:lang w:val="en-US" w:eastAsia="zh-CN"/>
        </w:rPr>
        <w:t>We have checked several commercial band 40 filters, 30~35 dB rejection is achievable.</w:t>
      </w:r>
    </w:p>
    <w:p w:rsidR="003027A0" w:rsidRPr="003027A0" w:rsidRDefault="003027A0" w:rsidP="008F2A01">
      <w:pPr>
        <w:rPr>
          <w:lang w:eastAsia="zh-CN"/>
        </w:rPr>
      </w:pPr>
      <w:r w:rsidRPr="003027A0">
        <w:rPr>
          <w:rFonts w:hint="eastAsia"/>
          <w:b/>
          <w:lang w:eastAsia="zh-CN"/>
        </w:rPr>
        <w:t>P</w:t>
      </w:r>
      <w:r w:rsidRPr="003027A0">
        <w:rPr>
          <w:b/>
          <w:lang w:eastAsia="zh-CN"/>
        </w:rPr>
        <w:t>roposal 4:</w:t>
      </w:r>
      <w:r>
        <w:rPr>
          <w:lang w:eastAsia="zh-CN"/>
        </w:rPr>
        <w:t xml:space="preserve"> for co-existence with n41, the requirements can be met without A-MPR</w:t>
      </w:r>
    </w:p>
    <w:p w:rsidR="00B9097E" w:rsidRDefault="00101F32" w:rsidP="00B9097E">
      <w:pPr>
        <w:pStyle w:val="1"/>
        <w:rPr>
          <w:rFonts w:eastAsia="宋体"/>
          <w:lang w:eastAsia="zh-CN"/>
        </w:rPr>
      </w:pPr>
      <w:r>
        <w:rPr>
          <w:rFonts w:eastAsia="宋体"/>
          <w:lang w:eastAsia="zh-CN"/>
        </w:rPr>
        <w:t>Conclusions</w:t>
      </w:r>
    </w:p>
    <w:p w:rsidR="00954C6A" w:rsidRDefault="005E6C5F" w:rsidP="005E6C5F">
      <w:pPr>
        <w:rPr>
          <w:lang w:val="en-US" w:eastAsia="zh-CN"/>
        </w:rPr>
      </w:pPr>
      <w:r>
        <w:rPr>
          <w:lang w:val="en-US" w:eastAsia="zh-CN"/>
        </w:rPr>
        <w:t xml:space="preserve">In this paper, we discuss the corresponding RF requirements </w:t>
      </w:r>
      <w:r w:rsidR="003027A0">
        <w:rPr>
          <w:lang w:val="en-US" w:eastAsia="zh-CN"/>
        </w:rPr>
        <w:t xml:space="preserve">for </w:t>
      </w:r>
      <w:r>
        <w:rPr>
          <w:lang w:val="en-US" w:eastAsia="zh-CN"/>
        </w:rPr>
        <w:t xml:space="preserve">adding 90 and 100MHz for band n40. </w:t>
      </w:r>
    </w:p>
    <w:p w:rsidR="003027A0" w:rsidRPr="003027A0" w:rsidRDefault="003027A0" w:rsidP="003027A0">
      <w:pPr>
        <w:rPr>
          <w:lang w:val="en-US" w:eastAsia="zh-CN"/>
        </w:rPr>
      </w:pPr>
      <w:r w:rsidRPr="0014125D">
        <w:rPr>
          <w:b/>
          <w:lang w:val="en-US" w:eastAsia="zh-CN"/>
        </w:rPr>
        <w:t xml:space="preserve">Proposal 1: </w:t>
      </w:r>
      <w:r w:rsidRPr="003027A0">
        <w:rPr>
          <w:lang w:val="en-US" w:eastAsia="zh-CN"/>
        </w:rPr>
        <w:t>DeltaMPR is not needed for 90 MHz and 100MHz UE channel bandwidth for n40.</w:t>
      </w:r>
    </w:p>
    <w:p w:rsidR="003027A0" w:rsidRDefault="003027A0" w:rsidP="003027A0">
      <w:pPr>
        <w:rPr>
          <w:lang w:eastAsia="zh-CN"/>
        </w:rPr>
      </w:pPr>
      <w:r w:rsidRPr="00FA0F0A">
        <w:rPr>
          <w:b/>
          <w:lang w:eastAsia="zh-CN"/>
        </w:rPr>
        <w:t>Proposal 2</w:t>
      </w:r>
      <w:r>
        <w:rPr>
          <w:lang w:eastAsia="zh-CN"/>
        </w:rPr>
        <w:t>: no new issue is introduced for the case 100 MHz CBW for co-existence with ISM band.</w:t>
      </w:r>
    </w:p>
    <w:p w:rsidR="003027A0" w:rsidRDefault="003027A0" w:rsidP="003027A0">
      <w:pPr>
        <w:rPr>
          <w:lang w:eastAsia="zh-CN"/>
        </w:rPr>
      </w:pPr>
      <w:r w:rsidRPr="002C2D5E">
        <w:rPr>
          <w:b/>
          <w:lang w:eastAsia="zh-CN"/>
        </w:rPr>
        <w:t>Proposal 3:</w:t>
      </w:r>
      <w:r>
        <w:rPr>
          <w:lang w:eastAsia="zh-CN"/>
        </w:rPr>
        <w:t xml:space="preserve"> further c</w:t>
      </w:r>
      <w:r w:rsidRPr="002C2D5E">
        <w:rPr>
          <w:lang w:eastAsia="zh-CN"/>
        </w:rPr>
        <w:t>lose band proximity MSD</w:t>
      </w:r>
      <w:r>
        <w:rPr>
          <w:lang w:eastAsia="zh-CN"/>
        </w:rPr>
        <w:t xml:space="preserve"> for n40 wider channel bandwidth should be defined in the future when we see the request in the CA basket WI.</w:t>
      </w:r>
    </w:p>
    <w:p w:rsidR="003027A0" w:rsidRPr="003027A0" w:rsidRDefault="003027A0" w:rsidP="003027A0">
      <w:pPr>
        <w:rPr>
          <w:lang w:eastAsia="zh-CN"/>
        </w:rPr>
      </w:pPr>
      <w:r w:rsidRPr="003027A0">
        <w:rPr>
          <w:rFonts w:hint="eastAsia"/>
          <w:b/>
          <w:lang w:eastAsia="zh-CN"/>
        </w:rPr>
        <w:t>P</w:t>
      </w:r>
      <w:r w:rsidRPr="003027A0">
        <w:rPr>
          <w:b/>
          <w:lang w:eastAsia="zh-CN"/>
        </w:rPr>
        <w:t>roposal 4:</w:t>
      </w:r>
      <w:r>
        <w:rPr>
          <w:lang w:eastAsia="zh-CN"/>
        </w:rPr>
        <w:t xml:space="preserve"> for co-existence with n41, the requirements can be met without A-MPR</w:t>
      </w:r>
    </w:p>
    <w:p w:rsidR="00245D5E" w:rsidRDefault="00245D5E" w:rsidP="00245D5E">
      <w:pPr>
        <w:pStyle w:val="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056527">
        <w:rPr>
          <w:lang w:val="en-US" w:eastAsia="zh-CN"/>
        </w:rPr>
        <w:t>RP-202062</w:t>
      </w:r>
      <w:r w:rsidR="0095154E">
        <w:rPr>
          <w:lang w:val="en-US" w:eastAsia="zh-CN"/>
        </w:rPr>
        <w:t xml:space="preserve">, </w:t>
      </w:r>
      <w:r w:rsidR="00056527" w:rsidRPr="00056527">
        <w:rPr>
          <w:lang w:val="en-US" w:eastAsia="zh-CN"/>
        </w:rPr>
        <w:t>Revised Basket WID on Rel-17 adding channel bandwidth support to existing NR bands</w:t>
      </w:r>
      <w:r w:rsidR="0095154E">
        <w:rPr>
          <w:lang w:val="en-US" w:eastAsia="zh-CN"/>
        </w:rPr>
        <w:t>, Ericsson</w:t>
      </w:r>
    </w:p>
    <w:p w:rsidR="00B53D68" w:rsidRDefault="00865B76" w:rsidP="00B53D68">
      <w:pPr>
        <w:adjustRightInd w:val="0"/>
        <w:ind w:left="400" w:hangingChars="200" w:hanging="400"/>
        <w:rPr>
          <w:lang w:eastAsia="zh-CN"/>
        </w:rPr>
      </w:pPr>
      <w:r>
        <w:rPr>
          <w:lang w:eastAsia="zh-CN"/>
        </w:rPr>
        <w:t xml:space="preserve">[2] </w:t>
      </w:r>
      <w:r w:rsidR="00B53D68" w:rsidRPr="00503FE8">
        <w:rPr>
          <w:lang w:eastAsia="zh-CN"/>
        </w:rPr>
        <w:t>Skyworks, Huawei, Qorvo, Broadcom</w:t>
      </w:r>
      <w:r w:rsidR="00B53D68">
        <w:rPr>
          <w:lang w:eastAsia="zh-CN"/>
        </w:rPr>
        <w:t xml:space="preserve">, </w:t>
      </w:r>
      <w:r w:rsidR="00B53D68" w:rsidRPr="00503FE8">
        <w:rPr>
          <w:lang w:eastAsia="zh-CN"/>
        </w:rPr>
        <w:t>R4-1801008</w:t>
      </w:r>
      <w:r w:rsidR="00B53D68">
        <w:rPr>
          <w:lang w:eastAsia="zh-CN"/>
        </w:rPr>
        <w:t>, “</w:t>
      </w:r>
      <w:r w:rsidR="00B53D68" w:rsidRPr="00503FE8">
        <w:rPr>
          <w:lang w:eastAsia="zh-CN"/>
        </w:rPr>
        <w:t>WF on maximum channel bandwidth criteria</w:t>
      </w:r>
      <w:r w:rsidR="00B53D68">
        <w:rPr>
          <w:lang w:eastAsia="zh-CN"/>
        </w:rPr>
        <w:t>”, 3GPP TSG RAN4 Meeting #94e.</w:t>
      </w:r>
    </w:p>
    <w:p w:rsidR="0095154E" w:rsidRDefault="0095154E" w:rsidP="00B53D68">
      <w:pPr>
        <w:rPr>
          <w:lang w:val="en-US" w:eastAsia="zh-CN"/>
        </w:rPr>
      </w:pPr>
      <w:r>
        <w:rPr>
          <w:lang w:val="en-US" w:eastAsia="zh-CN"/>
        </w:rPr>
        <w:t>[3]</w:t>
      </w:r>
      <w:r w:rsidRPr="0095154E">
        <w:t xml:space="preserve"> </w:t>
      </w:r>
      <w:r w:rsidR="00093692">
        <w:t>R4-20</w:t>
      </w:r>
      <w:r w:rsidR="00B175CC">
        <w:t>15297</w:t>
      </w:r>
      <w:r>
        <w:t xml:space="preserve">, </w:t>
      </w:r>
      <w:r w:rsidR="00056527" w:rsidRPr="00056527">
        <w:rPr>
          <w:lang w:val="en-US" w:eastAsia="zh-CN"/>
        </w:rPr>
        <w:t xml:space="preserve">draftCR to 38101-1 to add </w:t>
      </w:r>
      <w:r w:rsidR="00B53D68">
        <w:rPr>
          <w:lang w:val="en-US" w:eastAsia="zh-CN"/>
        </w:rPr>
        <w:t>90 and 100</w:t>
      </w:r>
      <w:r w:rsidR="00056527" w:rsidRPr="00056527">
        <w:rPr>
          <w:lang w:val="en-US" w:eastAsia="zh-CN"/>
        </w:rPr>
        <w:t>MHz BW for band n</w:t>
      </w:r>
      <w:r w:rsidR="00B53D68">
        <w:rPr>
          <w:lang w:val="en-US" w:eastAsia="zh-CN"/>
        </w:rPr>
        <w:t>4</w:t>
      </w:r>
      <w:r w:rsidR="00056527" w:rsidRPr="00056527">
        <w:rPr>
          <w:lang w:val="en-US" w:eastAsia="zh-CN"/>
        </w:rPr>
        <w:t>0</w:t>
      </w:r>
      <w:r>
        <w:rPr>
          <w:lang w:val="en-US" w:eastAsia="zh-CN"/>
        </w:rPr>
        <w:t>, Huawei, HiSilicon</w:t>
      </w:r>
    </w:p>
    <w:p w:rsidR="0095154E" w:rsidRDefault="00093692" w:rsidP="00245D5E">
      <w:pPr>
        <w:rPr>
          <w:lang w:val="en-US" w:eastAsia="zh-CN"/>
        </w:rPr>
      </w:pPr>
      <w:r>
        <w:rPr>
          <w:lang w:val="en-US" w:eastAsia="zh-CN"/>
        </w:rPr>
        <w:t>[4] R4-20</w:t>
      </w:r>
      <w:r w:rsidR="00B175CC">
        <w:rPr>
          <w:lang w:val="en-US" w:eastAsia="zh-CN"/>
        </w:rPr>
        <w:t>15298</w:t>
      </w:r>
      <w:r w:rsidR="0095154E">
        <w:rPr>
          <w:lang w:val="en-US" w:eastAsia="zh-CN"/>
        </w:rPr>
        <w:t xml:space="preserve">, </w:t>
      </w:r>
      <w:r w:rsidR="00056527" w:rsidRPr="00056527">
        <w:rPr>
          <w:lang w:val="en-US" w:eastAsia="zh-CN"/>
        </w:rPr>
        <w:t xml:space="preserve">draftCR to 38104 to add </w:t>
      </w:r>
      <w:r w:rsidR="00B53D68">
        <w:rPr>
          <w:lang w:val="en-US" w:eastAsia="zh-CN"/>
        </w:rPr>
        <w:t>90</w:t>
      </w:r>
      <w:r w:rsidR="00056527" w:rsidRPr="00056527">
        <w:rPr>
          <w:lang w:val="en-US" w:eastAsia="zh-CN"/>
        </w:rPr>
        <w:t>MHz BW for band n</w:t>
      </w:r>
      <w:r w:rsidR="00B53D68">
        <w:rPr>
          <w:lang w:val="en-US" w:eastAsia="zh-CN"/>
        </w:rPr>
        <w:t>4</w:t>
      </w:r>
      <w:r w:rsidR="00056527" w:rsidRPr="00056527">
        <w:rPr>
          <w:lang w:val="en-US" w:eastAsia="zh-CN"/>
        </w:rPr>
        <w:t>0</w:t>
      </w:r>
      <w:r w:rsidR="0095154E">
        <w:rPr>
          <w:lang w:val="en-US" w:eastAsia="zh-CN"/>
        </w:rPr>
        <w:t>, Huawei, HiSilicon</w:t>
      </w:r>
    </w:p>
    <w:p w:rsidR="0080408E" w:rsidRDefault="00B825FF" w:rsidP="0080408E">
      <w:pPr>
        <w:rPr>
          <w:lang w:val="en-US" w:eastAsia="zh-CN"/>
        </w:rPr>
      </w:pPr>
      <w:r>
        <w:rPr>
          <w:lang w:val="en-US" w:eastAsia="zh-CN"/>
        </w:rPr>
        <w:t>[5</w:t>
      </w:r>
      <w:r w:rsidR="0080408E">
        <w:rPr>
          <w:lang w:val="en-US" w:eastAsia="zh-CN"/>
        </w:rPr>
        <w:t xml:space="preserve">] </w:t>
      </w:r>
      <w:r w:rsidR="0080408E" w:rsidRPr="0080408E">
        <w:rPr>
          <w:lang w:val="en-US" w:eastAsia="zh-CN"/>
        </w:rPr>
        <w:t>R4-2016861</w:t>
      </w:r>
      <w:r w:rsidR="0080408E">
        <w:rPr>
          <w:lang w:val="en-US" w:eastAsia="zh-CN"/>
        </w:rPr>
        <w:t xml:space="preserve">, </w:t>
      </w:r>
      <w:r w:rsidR="0080408E" w:rsidRPr="0023518E">
        <w:t>draftCR to 38101-1 to add 90 and 100MHz BW for band n40</w:t>
      </w:r>
      <w:r w:rsidR="0080408E">
        <w:t xml:space="preserve">, </w:t>
      </w:r>
      <w:r w:rsidR="0080408E">
        <w:rPr>
          <w:lang w:val="en-US" w:eastAsia="zh-CN"/>
        </w:rPr>
        <w:t>Huawei, HiSilicon</w:t>
      </w:r>
    </w:p>
    <w:p w:rsidR="00B825FF" w:rsidRDefault="00B825FF" w:rsidP="0080408E">
      <w:r>
        <w:rPr>
          <w:lang w:val="en-US" w:eastAsia="zh-CN"/>
        </w:rPr>
        <w:t>[6</w:t>
      </w:r>
      <w:r w:rsidRPr="00B825FF">
        <w:t xml:space="preserve">] TR 36.816, </w:t>
      </w:r>
      <w:r>
        <w:t>Study on signalling and procedure for interference avoidance for in-device coexistence</w:t>
      </w:r>
    </w:p>
    <w:p w:rsidR="006F528B" w:rsidRDefault="006F528B" w:rsidP="0080408E">
      <w:r>
        <w:t xml:space="preserve">[7] </w:t>
      </w:r>
      <w:r w:rsidRPr="006F528B">
        <w:t>R4-2014593, n40 MPR and Interference for Additional Channel Bandwidths, Skyworks Solutions, Inc.</w:t>
      </w:r>
    </w:p>
    <w:p w:rsidR="00F371A9" w:rsidRDefault="00F371A9" w:rsidP="00F371A9">
      <w:r>
        <w:t xml:space="preserve">[8] </w:t>
      </w:r>
      <w:r w:rsidRPr="00F371A9">
        <w:t>R4-2103181</w:t>
      </w:r>
      <w:r>
        <w:t>,</w:t>
      </w:r>
      <w:r w:rsidRPr="00F371A9">
        <w:tab/>
        <w:t>Way forward on adding 90 and 100MHz channel BW for UE in band n40</w:t>
      </w:r>
      <w:r>
        <w:t xml:space="preserve">, Huawei, </w:t>
      </w:r>
      <w:r w:rsidRPr="00F371A9">
        <w:t>HiSilicon, CMCC</w:t>
      </w:r>
    </w:p>
    <w:p w:rsidR="00F371A9" w:rsidRPr="000C294F" w:rsidRDefault="003027A0" w:rsidP="0080408E">
      <w:r w:rsidRPr="003027A0">
        <w:rPr>
          <w:lang w:val="en-US" w:eastAsia="zh-CN"/>
        </w:rPr>
        <w:t xml:space="preserve">[9] R4-21xxxx, Discussion on </w:t>
      </w:r>
      <w:bookmarkStart w:id="13" w:name="OLE_LINK67"/>
      <w:r w:rsidRPr="003027A0">
        <w:rPr>
          <w:lang w:val="en-US" w:eastAsia="zh-CN"/>
        </w:rPr>
        <w:t>spurious emission about UE co-existence between band n40 and n41</w:t>
      </w:r>
      <w:bookmarkEnd w:id="13"/>
      <w:r>
        <w:rPr>
          <w:lang w:val="en-US" w:eastAsia="zh-CN"/>
        </w:rPr>
        <w:t xml:space="preserve">, </w:t>
      </w:r>
      <w:r>
        <w:t xml:space="preserve">Huawei, </w:t>
      </w:r>
      <w:r w:rsidRPr="00F371A9">
        <w:t>HiSilicon, CMCC</w:t>
      </w:r>
    </w:p>
    <w:sectPr w:rsidR="00F371A9" w:rsidRPr="000C294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17E" w:rsidRDefault="006C017E">
      <w:r>
        <w:separator/>
      </w:r>
    </w:p>
  </w:endnote>
  <w:endnote w:type="continuationSeparator" w:id="0">
    <w:p w:rsidR="006C017E" w:rsidRDefault="006C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17E" w:rsidRDefault="006C017E">
      <w:r>
        <w:separator/>
      </w:r>
    </w:p>
  </w:footnote>
  <w:footnote w:type="continuationSeparator" w:id="0">
    <w:p w:rsidR="006C017E" w:rsidRDefault="006C0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4EE28FB"/>
    <w:multiLevelType w:val="hybridMultilevel"/>
    <w:tmpl w:val="CC2A1940"/>
    <w:lvl w:ilvl="0" w:tplc="F8009E0A">
      <w:start w:val="1"/>
      <w:numFmt w:val="bullet"/>
      <w:lvlText w:val="•"/>
      <w:lvlJc w:val="left"/>
      <w:pPr>
        <w:tabs>
          <w:tab w:val="num" w:pos="720"/>
        </w:tabs>
        <w:ind w:left="720" w:hanging="360"/>
      </w:pPr>
      <w:rPr>
        <w:rFonts w:ascii="Arial" w:hAnsi="Arial" w:hint="default"/>
      </w:rPr>
    </w:lvl>
    <w:lvl w:ilvl="1" w:tplc="8B780DF2">
      <w:start w:val="1"/>
      <w:numFmt w:val="bullet"/>
      <w:lvlText w:val="•"/>
      <w:lvlJc w:val="left"/>
      <w:pPr>
        <w:tabs>
          <w:tab w:val="num" w:pos="1440"/>
        </w:tabs>
        <w:ind w:left="1440" w:hanging="360"/>
      </w:pPr>
      <w:rPr>
        <w:rFonts w:ascii="Arial" w:hAnsi="Arial" w:hint="default"/>
      </w:rPr>
    </w:lvl>
    <w:lvl w:ilvl="2" w:tplc="4C56107E">
      <w:numFmt w:val="bullet"/>
      <w:lvlText w:val="•"/>
      <w:lvlJc w:val="left"/>
      <w:pPr>
        <w:tabs>
          <w:tab w:val="num" w:pos="2160"/>
        </w:tabs>
        <w:ind w:left="2160" w:hanging="360"/>
      </w:pPr>
      <w:rPr>
        <w:rFonts w:ascii="Arial" w:hAnsi="Arial" w:hint="default"/>
      </w:rPr>
    </w:lvl>
    <w:lvl w:ilvl="3" w:tplc="039E0808" w:tentative="1">
      <w:start w:val="1"/>
      <w:numFmt w:val="bullet"/>
      <w:lvlText w:val="•"/>
      <w:lvlJc w:val="left"/>
      <w:pPr>
        <w:tabs>
          <w:tab w:val="num" w:pos="2880"/>
        </w:tabs>
        <w:ind w:left="2880" w:hanging="360"/>
      </w:pPr>
      <w:rPr>
        <w:rFonts w:ascii="Arial" w:hAnsi="Arial" w:hint="default"/>
      </w:rPr>
    </w:lvl>
    <w:lvl w:ilvl="4" w:tplc="8E4EC42A" w:tentative="1">
      <w:start w:val="1"/>
      <w:numFmt w:val="bullet"/>
      <w:lvlText w:val="•"/>
      <w:lvlJc w:val="left"/>
      <w:pPr>
        <w:tabs>
          <w:tab w:val="num" w:pos="3600"/>
        </w:tabs>
        <w:ind w:left="3600" w:hanging="360"/>
      </w:pPr>
      <w:rPr>
        <w:rFonts w:ascii="Arial" w:hAnsi="Arial" w:hint="default"/>
      </w:rPr>
    </w:lvl>
    <w:lvl w:ilvl="5" w:tplc="0FE055A4" w:tentative="1">
      <w:start w:val="1"/>
      <w:numFmt w:val="bullet"/>
      <w:lvlText w:val="•"/>
      <w:lvlJc w:val="left"/>
      <w:pPr>
        <w:tabs>
          <w:tab w:val="num" w:pos="4320"/>
        </w:tabs>
        <w:ind w:left="4320" w:hanging="360"/>
      </w:pPr>
      <w:rPr>
        <w:rFonts w:ascii="Arial" w:hAnsi="Arial" w:hint="default"/>
      </w:rPr>
    </w:lvl>
    <w:lvl w:ilvl="6" w:tplc="0A3050C6" w:tentative="1">
      <w:start w:val="1"/>
      <w:numFmt w:val="bullet"/>
      <w:lvlText w:val="•"/>
      <w:lvlJc w:val="left"/>
      <w:pPr>
        <w:tabs>
          <w:tab w:val="num" w:pos="5040"/>
        </w:tabs>
        <w:ind w:left="5040" w:hanging="360"/>
      </w:pPr>
      <w:rPr>
        <w:rFonts w:ascii="Arial" w:hAnsi="Arial" w:hint="default"/>
      </w:rPr>
    </w:lvl>
    <w:lvl w:ilvl="7" w:tplc="45DA207A" w:tentative="1">
      <w:start w:val="1"/>
      <w:numFmt w:val="bullet"/>
      <w:lvlText w:val="•"/>
      <w:lvlJc w:val="left"/>
      <w:pPr>
        <w:tabs>
          <w:tab w:val="num" w:pos="5760"/>
        </w:tabs>
        <w:ind w:left="5760" w:hanging="360"/>
      </w:pPr>
      <w:rPr>
        <w:rFonts w:ascii="Arial" w:hAnsi="Arial" w:hint="default"/>
      </w:rPr>
    </w:lvl>
    <w:lvl w:ilvl="8" w:tplc="446A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E6D3339"/>
    <w:multiLevelType w:val="hybridMultilevel"/>
    <w:tmpl w:val="AD3452C6"/>
    <w:lvl w:ilvl="0" w:tplc="04F0EC1A">
      <w:start w:val="1"/>
      <w:numFmt w:val="bullet"/>
      <w:lvlText w:val="•"/>
      <w:lvlJc w:val="left"/>
      <w:pPr>
        <w:tabs>
          <w:tab w:val="num" w:pos="720"/>
        </w:tabs>
        <w:ind w:left="720" w:hanging="360"/>
      </w:pPr>
      <w:rPr>
        <w:rFonts w:ascii="Arial" w:hAnsi="Arial" w:hint="default"/>
      </w:rPr>
    </w:lvl>
    <w:lvl w:ilvl="1" w:tplc="2296477A">
      <w:start w:val="1"/>
      <w:numFmt w:val="bullet"/>
      <w:lvlText w:val="•"/>
      <w:lvlJc w:val="left"/>
      <w:pPr>
        <w:tabs>
          <w:tab w:val="num" w:pos="1440"/>
        </w:tabs>
        <w:ind w:left="1440" w:hanging="360"/>
      </w:pPr>
      <w:rPr>
        <w:rFonts w:ascii="Arial" w:hAnsi="Arial" w:hint="default"/>
      </w:rPr>
    </w:lvl>
    <w:lvl w:ilvl="2" w:tplc="84C030CE" w:tentative="1">
      <w:start w:val="1"/>
      <w:numFmt w:val="bullet"/>
      <w:lvlText w:val="•"/>
      <w:lvlJc w:val="left"/>
      <w:pPr>
        <w:tabs>
          <w:tab w:val="num" w:pos="2160"/>
        </w:tabs>
        <w:ind w:left="2160" w:hanging="360"/>
      </w:pPr>
      <w:rPr>
        <w:rFonts w:ascii="Arial" w:hAnsi="Arial" w:hint="default"/>
      </w:rPr>
    </w:lvl>
    <w:lvl w:ilvl="3" w:tplc="C3B4685C" w:tentative="1">
      <w:start w:val="1"/>
      <w:numFmt w:val="bullet"/>
      <w:lvlText w:val="•"/>
      <w:lvlJc w:val="left"/>
      <w:pPr>
        <w:tabs>
          <w:tab w:val="num" w:pos="2880"/>
        </w:tabs>
        <w:ind w:left="2880" w:hanging="360"/>
      </w:pPr>
      <w:rPr>
        <w:rFonts w:ascii="Arial" w:hAnsi="Arial" w:hint="default"/>
      </w:rPr>
    </w:lvl>
    <w:lvl w:ilvl="4" w:tplc="32263232" w:tentative="1">
      <w:start w:val="1"/>
      <w:numFmt w:val="bullet"/>
      <w:lvlText w:val="•"/>
      <w:lvlJc w:val="left"/>
      <w:pPr>
        <w:tabs>
          <w:tab w:val="num" w:pos="3600"/>
        </w:tabs>
        <w:ind w:left="3600" w:hanging="360"/>
      </w:pPr>
      <w:rPr>
        <w:rFonts w:ascii="Arial" w:hAnsi="Arial" w:hint="default"/>
      </w:rPr>
    </w:lvl>
    <w:lvl w:ilvl="5" w:tplc="21926578" w:tentative="1">
      <w:start w:val="1"/>
      <w:numFmt w:val="bullet"/>
      <w:lvlText w:val="•"/>
      <w:lvlJc w:val="left"/>
      <w:pPr>
        <w:tabs>
          <w:tab w:val="num" w:pos="4320"/>
        </w:tabs>
        <w:ind w:left="4320" w:hanging="360"/>
      </w:pPr>
      <w:rPr>
        <w:rFonts w:ascii="Arial" w:hAnsi="Arial" w:hint="default"/>
      </w:rPr>
    </w:lvl>
    <w:lvl w:ilvl="6" w:tplc="05E2087E" w:tentative="1">
      <w:start w:val="1"/>
      <w:numFmt w:val="bullet"/>
      <w:lvlText w:val="•"/>
      <w:lvlJc w:val="left"/>
      <w:pPr>
        <w:tabs>
          <w:tab w:val="num" w:pos="5040"/>
        </w:tabs>
        <w:ind w:left="5040" w:hanging="360"/>
      </w:pPr>
      <w:rPr>
        <w:rFonts w:ascii="Arial" w:hAnsi="Arial" w:hint="default"/>
      </w:rPr>
    </w:lvl>
    <w:lvl w:ilvl="7" w:tplc="3E189946" w:tentative="1">
      <w:start w:val="1"/>
      <w:numFmt w:val="bullet"/>
      <w:lvlText w:val="•"/>
      <w:lvlJc w:val="left"/>
      <w:pPr>
        <w:tabs>
          <w:tab w:val="num" w:pos="5760"/>
        </w:tabs>
        <w:ind w:left="5760" w:hanging="360"/>
      </w:pPr>
      <w:rPr>
        <w:rFonts w:ascii="Arial" w:hAnsi="Arial" w:hint="default"/>
      </w:rPr>
    </w:lvl>
    <w:lvl w:ilvl="8" w:tplc="924261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C5734E"/>
    <w:multiLevelType w:val="hybridMultilevel"/>
    <w:tmpl w:val="9F72405E"/>
    <w:lvl w:ilvl="0" w:tplc="ABF2FE8E">
      <w:start w:val="1"/>
      <w:numFmt w:val="bullet"/>
      <w:lvlText w:val="•"/>
      <w:lvlJc w:val="left"/>
      <w:pPr>
        <w:tabs>
          <w:tab w:val="num" w:pos="720"/>
        </w:tabs>
        <w:ind w:left="720" w:hanging="360"/>
      </w:pPr>
      <w:rPr>
        <w:rFonts w:ascii="Arial" w:hAnsi="Arial" w:hint="default"/>
      </w:rPr>
    </w:lvl>
    <w:lvl w:ilvl="1" w:tplc="3DB6E6F0">
      <w:start w:val="1"/>
      <w:numFmt w:val="bullet"/>
      <w:lvlText w:val="•"/>
      <w:lvlJc w:val="left"/>
      <w:pPr>
        <w:tabs>
          <w:tab w:val="num" w:pos="1440"/>
        </w:tabs>
        <w:ind w:left="1440" w:hanging="360"/>
      </w:pPr>
      <w:rPr>
        <w:rFonts w:ascii="Arial" w:hAnsi="Arial" w:hint="default"/>
      </w:rPr>
    </w:lvl>
    <w:lvl w:ilvl="2" w:tplc="16787B92" w:tentative="1">
      <w:start w:val="1"/>
      <w:numFmt w:val="bullet"/>
      <w:lvlText w:val="•"/>
      <w:lvlJc w:val="left"/>
      <w:pPr>
        <w:tabs>
          <w:tab w:val="num" w:pos="2160"/>
        </w:tabs>
        <w:ind w:left="2160" w:hanging="360"/>
      </w:pPr>
      <w:rPr>
        <w:rFonts w:ascii="Arial" w:hAnsi="Arial" w:hint="default"/>
      </w:rPr>
    </w:lvl>
    <w:lvl w:ilvl="3" w:tplc="0E46D304" w:tentative="1">
      <w:start w:val="1"/>
      <w:numFmt w:val="bullet"/>
      <w:lvlText w:val="•"/>
      <w:lvlJc w:val="left"/>
      <w:pPr>
        <w:tabs>
          <w:tab w:val="num" w:pos="2880"/>
        </w:tabs>
        <w:ind w:left="2880" w:hanging="360"/>
      </w:pPr>
      <w:rPr>
        <w:rFonts w:ascii="Arial" w:hAnsi="Arial" w:hint="default"/>
      </w:rPr>
    </w:lvl>
    <w:lvl w:ilvl="4" w:tplc="BC56D368" w:tentative="1">
      <w:start w:val="1"/>
      <w:numFmt w:val="bullet"/>
      <w:lvlText w:val="•"/>
      <w:lvlJc w:val="left"/>
      <w:pPr>
        <w:tabs>
          <w:tab w:val="num" w:pos="3600"/>
        </w:tabs>
        <w:ind w:left="3600" w:hanging="360"/>
      </w:pPr>
      <w:rPr>
        <w:rFonts w:ascii="Arial" w:hAnsi="Arial" w:hint="default"/>
      </w:rPr>
    </w:lvl>
    <w:lvl w:ilvl="5" w:tplc="B9966808" w:tentative="1">
      <w:start w:val="1"/>
      <w:numFmt w:val="bullet"/>
      <w:lvlText w:val="•"/>
      <w:lvlJc w:val="left"/>
      <w:pPr>
        <w:tabs>
          <w:tab w:val="num" w:pos="4320"/>
        </w:tabs>
        <w:ind w:left="4320" w:hanging="360"/>
      </w:pPr>
      <w:rPr>
        <w:rFonts w:ascii="Arial" w:hAnsi="Arial" w:hint="default"/>
      </w:rPr>
    </w:lvl>
    <w:lvl w:ilvl="6" w:tplc="5AE448D8" w:tentative="1">
      <w:start w:val="1"/>
      <w:numFmt w:val="bullet"/>
      <w:lvlText w:val="•"/>
      <w:lvlJc w:val="left"/>
      <w:pPr>
        <w:tabs>
          <w:tab w:val="num" w:pos="5040"/>
        </w:tabs>
        <w:ind w:left="5040" w:hanging="360"/>
      </w:pPr>
      <w:rPr>
        <w:rFonts w:ascii="Arial" w:hAnsi="Arial" w:hint="default"/>
      </w:rPr>
    </w:lvl>
    <w:lvl w:ilvl="7" w:tplc="19B6B1BC" w:tentative="1">
      <w:start w:val="1"/>
      <w:numFmt w:val="bullet"/>
      <w:lvlText w:val="•"/>
      <w:lvlJc w:val="left"/>
      <w:pPr>
        <w:tabs>
          <w:tab w:val="num" w:pos="5760"/>
        </w:tabs>
        <w:ind w:left="5760" w:hanging="360"/>
      </w:pPr>
      <w:rPr>
        <w:rFonts w:ascii="Arial" w:hAnsi="Arial" w:hint="default"/>
      </w:rPr>
    </w:lvl>
    <w:lvl w:ilvl="8" w:tplc="0AB408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1"/>
  </w:num>
  <w:num w:numId="4">
    <w:abstractNumId w:val="32"/>
  </w:num>
  <w:num w:numId="5">
    <w:abstractNumId w:val="21"/>
  </w:num>
  <w:num w:numId="6">
    <w:abstractNumId w:val="2"/>
  </w:num>
  <w:num w:numId="7">
    <w:abstractNumId w:val="7"/>
  </w:num>
  <w:num w:numId="8">
    <w:abstractNumId w:val="14"/>
  </w:num>
  <w:num w:numId="9">
    <w:abstractNumId w:val="17"/>
  </w:num>
  <w:num w:numId="10">
    <w:abstractNumId w:val="6"/>
  </w:num>
  <w:num w:numId="11">
    <w:abstractNumId w:val="13"/>
  </w:num>
  <w:num w:numId="12">
    <w:abstractNumId w:val="9"/>
  </w:num>
  <w:num w:numId="13">
    <w:abstractNumId w:val="29"/>
  </w:num>
  <w:num w:numId="14">
    <w:abstractNumId w:val="5"/>
  </w:num>
  <w:num w:numId="15">
    <w:abstractNumId w:val="18"/>
  </w:num>
  <w:num w:numId="16">
    <w:abstractNumId w:val="10"/>
  </w:num>
  <w:num w:numId="17">
    <w:abstractNumId w:val="27"/>
  </w:num>
  <w:num w:numId="18">
    <w:abstractNumId w:val="30"/>
  </w:num>
  <w:num w:numId="19">
    <w:abstractNumId w:val="12"/>
  </w:num>
  <w:num w:numId="20">
    <w:abstractNumId w:val="11"/>
  </w:num>
  <w:num w:numId="21">
    <w:abstractNumId w:val="28"/>
  </w:num>
  <w:num w:numId="22">
    <w:abstractNumId w:val="16"/>
  </w:num>
  <w:num w:numId="23">
    <w:abstractNumId w:val="23"/>
  </w:num>
  <w:num w:numId="24">
    <w:abstractNumId w:val="3"/>
  </w:num>
  <w:num w:numId="25">
    <w:abstractNumId w:val="24"/>
  </w:num>
  <w:num w:numId="26">
    <w:abstractNumId w:val="19"/>
  </w:num>
  <w:num w:numId="27">
    <w:abstractNumId w:val="8"/>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
  </w:num>
  <w:num w:numId="33">
    <w:abstractNumId w:val="15"/>
  </w:num>
  <w:num w:numId="34">
    <w:abstractNumId w:val="26"/>
  </w:num>
  <w:num w:numId="3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294F"/>
    <w:rsid w:val="000C4243"/>
    <w:rsid w:val="000C42DD"/>
    <w:rsid w:val="000C4C1E"/>
    <w:rsid w:val="000C4E93"/>
    <w:rsid w:val="000C6739"/>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483E"/>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D14"/>
    <w:rsid w:val="00100ECD"/>
    <w:rsid w:val="00101C00"/>
    <w:rsid w:val="00101C0B"/>
    <w:rsid w:val="00101F32"/>
    <w:rsid w:val="001024B9"/>
    <w:rsid w:val="001053B5"/>
    <w:rsid w:val="0010634F"/>
    <w:rsid w:val="001066B3"/>
    <w:rsid w:val="00107EFF"/>
    <w:rsid w:val="00107FF6"/>
    <w:rsid w:val="001105A2"/>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28E"/>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2B2"/>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F80"/>
    <w:rsid w:val="002B4A9F"/>
    <w:rsid w:val="002B565A"/>
    <w:rsid w:val="002B59FE"/>
    <w:rsid w:val="002B6848"/>
    <w:rsid w:val="002B689A"/>
    <w:rsid w:val="002B7766"/>
    <w:rsid w:val="002C0977"/>
    <w:rsid w:val="002C19BD"/>
    <w:rsid w:val="002C24E5"/>
    <w:rsid w:val="002C28CD"/>
    <w:rsid w:val="002C2D5E"/>
    <w:rsid w:val="002C3F9C"/>
    <w:rsid w:val="002C4BB7"/>
    <w:rsid w:val="002C5758"/>
    <w:rsid w:val="002C5BCD"/>
    <w:rsid w:val="002C63B6"/>
    <w:rsid w:val="002C7216"/>
    <w:rsid w:val="002C73CF"/>
    <w:rsid w:val="002C7B02"/>
    <w:rsid w:val="002D06DC"/>
    <w:rsid w:val="002D1588"/>
    <w:rsid w:val="002D1D19"/>
    <w:rsid w:val="002D293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7A0"/>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679AC"/>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27864"/>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2860"/>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A21"/>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1C8"/>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539"/>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E6C5F"/>
    <w:rsid w:val="005F0E08"/>
    <w:rsid w:val="005F10BE"/>
    <w:rsid w:val="005F1896"/>
    <w:rsid w:val="005F1E5C"/>
    <w:rsid w:val="005F251E"/>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5DFB"/>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5CCB"/>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17E"/>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528B"/>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D54"/>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021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C05"/>
    <w:rsid w:val="007B1D70"/>
    <w:rsid w:val="007B436C"/>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466"/>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08E"/>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5BC5"/>
    <w:rsid w:val="00847222"/>
    <w:rsid w:val="00847343"/>
    <w:rsid w:val="00847DC1"/>
    <w:rsid w:val="00850575"/>
    <w:rsid w:val="0085137C"/>
    <w:rsid w:val="008525BE"/>
    <w:rsid w:val="008529B5"/>
    <w:rsid w:val="008537FC"/>
    <w:rsid w:val="00853948"/>
    <w:rsid w:val="00855B68"/>
    <w:rsid w:val="00855D68"/>
    <w:rsid w:val="0085631C"/>
    <w:rsid w:val="0085641C"/>
    <w:rsid w:val="00857558"/>
    <w:rsid w:val="008610F2"/>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4B3"/>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A01"/>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07CF6"/>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4C6A"/>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5C3"/>
    <w:rsid w:val="00980067"/>
    <w:rsid w:val="00980353"/>
    <w:rsid w:val="00981B7A"/>
    <w:rsid w:val="00982366"/>
    <w:rsid w:val="00982B90"/>
    <w:rsid w:val="00983665"/>
    <w:rsid w:val="009843C2"/>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CD5"/>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5FF"/>
    <w:rsid w:val="00B82661"/>
    <w:rsid w:val="00B82E23"/>
    <w:rsid w:val="00B83BC7"/>
    <w:rsid w:val="00B83F14"/>
    <w:rsid w:val="00B84852"/>
    <w:rsid w:val="00B86576"/>
    <w:rsid w:val="00B869E4"/>
    <w:rsid w:val="00B87873"/>
    <w:rsid w:val="00B9097E"/>
    <w:rsid w:val="00B90FD9"/>
    <w:rsid w:val="00B93D8B"/>
    <w:rsid w:val="00B96350"/>
    <w:rsid w:val="00B96CB9"/>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4A50"/>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B3"/>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2ACB"/>
    <w:rsid w:val="00C93080"/>
    <w:rsid w:val="00C950C5"/>
    <w:rsid w:val="00C95985"/>
    <w:rsid w:val="00C95DEA"/>
    <w:rsid w:val="00C95E7A"/>
    <w:rsid w:val="00C9666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D7FC7"/>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4CA"/>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0785C"/>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5AEE"/>
    <w:rsid w:val="00E35FEA"/>
    <w:rsid w:val="00E36931"/>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76F"/>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371A9"/>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458"/>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2C5F"/>
    <w:rsid w:val="00F930E2"/>
    <w:rsid w:val="00F942F0"/>
    <w:rsid w:val="00F9512C"/>
    <w:rsid w:val="00F9586A"/>
    <w:rsid w:val="00F963F3"/>
    <w:rsid w:val="00F96A52"/>
    <w:rsid w:val="00F96B99"/>
    <w:rsid w:val="00F97194"/>
    <w:rsid w:val="00F97694"/>
    <w:rsid w:val="00FA096A"/>
    <w:rsid w:val="00FA0A88"/>
    <w:rsid w:val="00FA0F0A"/>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61BC185-7D80-4FAD-8A23-E0A50E0C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6028356">
      <w:bodyDiv w:val="1"/>
      <w:marLeft w:val="0"/>
      <w:marRight w:val="0"/>
      <w:marTop w:val="0"/>
      <w:marBottom w:val="0"/>
      <w:divBdr>
        <w:top w:val="none" w:sz="0" w:space="0" w:color="auto"/>
        <w:left w:val="none" w:sz="0" w:space="0" w:color="auto"/>
        <w:bottom w:val="none" w:sz="0" w:space="0" w:color="auto"/>
        <w:right w:val="none" w:sz="0" w:space="0" w:color="auto"/>
      </w:divBdr>
      <w:divsChild>
        <w:div w:id="104668252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53928180">
      <w:bodyDiv w:val="1"/>
      <w:marLeft w:val="0"/>
      <w:marRight w:val="0"/>
      <w:marTop w:val="0"/>
      <w:marBottom w:val="0"/>
      <w:divBdr>
        <w:top w:val="none" w:sz="0" w:space="0" w:color="auto"/>
        <w:left w:val="none" w:sz="0" w:space="0" w:color="auto"/>
        <w:bottom w:val="none" w:sz="0" w:space="0" w:color="auto"/>
        <w:right w:val="none" w:sz="0" w:space="0" w:color="auto"/>
      </w:divBdr>
      <w:divsChild>
        <w:div w:id="984578779">
          <w:marLeft w:val="1080"/>
          <w:marRight w:val="0"/>
          <w:marTop w:val="100"/>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29751347">
      <w:bodyDiv w:val="1"/>
      <w:marLeft w:val="0"/>
      <w:marRight w:val="0"/>
      <w:marTop w:val="0"/>
      <w:marBottom w:val="0"/>
      <w:divBdr>
        <w:top w:val="none" w:sz="0" w:space="0" w:color="auto"/>
        <w:left w:val="none" w:sz="0" w:space="0" w:color="auto"/>
        <w:bottom w:val="none" w:sz="0" w:space="0" w:color="auto"/>
        <w:right w:val="none" w:sz="0" w:space="0" w:color="auto"/>
      </w:divBdr>
      <w:divsChild>
        <w:div w:id="736632035">
          <w:marLeft w:val="108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936623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0117492">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83403557">
      <w:bodyDiv w:val="1"/>
      <w:marLeft w:val="0"/>
      <w:marRight w:val="0"/>
      <w:marTop w:val="0"/>
      <w:marBottom w:val="0"/>
      <w:divBdr>
        <w:top w:val="none" w:sz="0" w:space="0" w:color="auto"/>
        <w:left w:val="none" w:sz="0" w:space="0" w:color="auto"/>
        <w:bottom w:val="none" w:sz="0" w:space="0" w:color="auto"/>
        <w:right w:val="none" w:sz="0" w:space="0" w:color="auto"/>
      </w:divBdr>
    </w:div>
    <w:div w:id="1916933262">
      <w:bodyDiv w:val="1"/>
      <w:marLeft w:val="0"/>
      <w:marRight w:val="0"/>
      <w:marTop w:val="0"/>
      <w:marBottom w:val="0"/>
      <w:divBdr>
        <w:top w:val="none" w:sz="0" w:space="0" w:color="auto"/>
        <w:left w:val="none" w:sz="0" w:space="0" w:color="auto"/>
        <w:bottom w:val="none" w:sz="0" w:space="0" w:color="auto"/>
        <w:right w:val="none" w:sz="0" w:space="0" w:color="auto"/>
      </w:divBdr>
      <w:divsChild>
        <w:div w:id="2025551240">
          <w:marLeft w:val="1080"/>
          <w:marRight w:val="0"/>
          <w:marTop w:val="100"/>
          <w:marBottom w:val="0"/>
          <w:divBdr>
            <w:top w:val="none" w:sz="0" w:space="0" w:color="auto"/>
            <w:left w:val="none" w:sz="0" w:space="0" w:color="auto"/>
            <w:bottom w:val="none" w:sz="0" w:space="0" w:color="auto"/>
            <w:right w:val="none" w:sz="0" w:space="0" w:color="auto"/>
          </w:divBdr>
        </w:div>
        <w:div w:id="1900479606">
          <w:marLeft w:val="1080"/>
          <w:marRight w:val="0"/>
          <w:marTop w:val="100"/>
          <w:marBottom w:val="0"/>
          <w:divBdr>
            <w:top w:val="none" w:sz="0" w:space="0" w:color="auto"/>
            <w:left w:val="none" w:sz="0" w:space="0" w:color="auto"/>
            <w:bottom w:val="none" w:sz="0" w:space="0" w:color="auto"/>
            <w:right w:val="none" w:sz="0" w:space="0" w:color="auto"/>
          </w:divBdr>
        </w:div>
        <w:div w:id="398792706">
          <w:marLeft w:val="1800"/>
          <w:marRight w:val="0"/>
          <w:marTop w:val="100"/>
          <w:marBottom w:val="0"/>
          <w:divBdr>
            <w:top w:val="none" w:sz="0" w:space="0" w:color="auto"/>
            <w:left w:val="none" w:sz="0" w:space="0" w:color="auto"/>
            <w:bottom w:val="none" w:sz="0" w:space="0" w:color="auto"/>
            <w:right w:val="none" w:sz="0" w:space="0" w:color="auto"/>
          </w:divBdr>
        </w:div>
        <w:div w:id="1023901473">
          <w:marLeft w:val="1800"/>
          <w:marRight w:val="0"/>
          <w:marTop w:val="100"/>
          <w:marBottom w:val="0"/>
          <w:divBdr>
            <w:top w:val="none" w:sz="0" w:space="0" w:color="auto"/>
            <w:left w:val="none" w:sz="0" w:space="0" w:color="auto"/>
            <w:bottom w:val="none" w:sz="0" w:space="0" w:color="auto"/>
            <w:right w:val="none" w:sz="0" w:space="0" w:color="auto"/>
          </w:divBdr>
        </w:div>
        <w:div w:id="95105175">
          <w:marLeft w:val="1080"/>
          <w:marRight w:val="0"/>
          <w:marTop w:val="100"/>
          <w:marBottom w:val="0"/>
          <w:divBdr>
            <w:top w:val="none" w:sz="0" w:space="0" w:color="auto"/>
            <w:left w:val="none" w:sz="0" w:space="0" w:color="auto"/>
            <w:bottom w:val="none" w:sz="0" w:space="0" w:color="auto"/>
            <w:right w:val="none" w:sz="0" w:space="0" w:color="auto"/>
          </w:divBdr>
        </w:div>
        <w:div w:id="1062018523">
          <w:marLeft w:val="1080"/>
          <w:marRight w:val="0"/>
          <w:marTop w:val="100"/>
          <w:marBottom w:val="0"/>
          <w:divBdr>
            <w:top w:val="none" w:sz="0" w:space="0" w:color="auto"/>
            <w:left w:val="none" w:sz="0" w:space="0" w:color="auto"/>
            <w:bottom w:val="none" w:sz="0" w:space="0" w:color="auto"/>
            <w:right w:val="none" w:sz="0" w:space="0" w:color="auto"/>
          </w:divBdr>
        </w:div>
        <w:div w:id="861554923">
          <w:marLeft w:val="1080"/>
          <w:marRight w:val="0"/>
          <w:marTop w:val="100"/>
          <w:marBottom w:val="0"/>
          <w:divBdr>
            <w:top w:val="none" w:sz="0" w:space="0" w:color="auto"/>
            <w:left w:val="none" w:sz="0" w:space="0" w:color="auto"/>
            <w:bottom w:val="none" w:sz="0" w:space="0" w:color="auto"/>
            <w:right w:val="none" w:sz="0" w:space="0" w:color="auto"/>
          </w:divBdr>
        </w:div>
      </w:divsChild>
    </w:div>
    <w:div w:id="193096235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03F46-2470-4785-AD85-61DE4746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7</cp:revision>
  <cp:lastPrinted>2009-04-22T01:01:00Z</cp:lastPrinted>
  <dcterms:created xsi:type="dcterms:W3CDTF">2021-03-29T06:51:00Z</dcterms:created>
  <dcterms:modified xsi:type="dcterms:W3CDTF">2021-04-02T10:50:00Z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(3)8WJfywaj6l73ZxxvXt+6NTZ4V9gCzElyw9A3lssWvj3sNOyN9+DOJELSAN2Cuf570c/neVq0
9prDZqUaPIyYR+5Iho9jjOcscRgIBXMcsekn+/i6Ao5zD5gWUp8iHYfoQT+SU8WJGLEFwAxD
MN1xfEkTjiC4NOz53JgKNBpKhqL9UKLvhMmbGp1QkxahmZJB/EnSKpAqaLGZb7B+hygjuPhp
jfk9ehLs1DKW8wOlcM</vt:lpwstr>
  </property>
  <property fmtid="{D5CDD505-2E9C-101B-9397-08002B2CF9AE}" pid="17" name="_2015_ms_pID_725343_00">
    <vt:lpwstr>_2015_ms_pID_725343</vt:lpwstr>
  </property>
  <property fmtid="{D5CDD505-2E9C-101B-9397-08002B2CF9AE}" pid="18" name="_2015_ms_pID_7253431">
    <vt:lpwstr>nhXRoFFnq6w1ALVm3cInoLfwAbYJjSZlx5LHwvRRbiMmjj/dugwNiW
ESy36Ab6FSxCtLrpMSviQtLXj3kwBzwipj36tLTjQxtaLFawqSD0dk0uIN7TVCsNlp5PYQON
ngmih7GhrgiUaQVS7R2OxnRllRk0jeZD9TQfYekmqiIQDPItSBoSCNdQ+6WzxxPgiDfOyrlV
H95Ye1OWKil+dNtSlhGyCoCnU79D/bUzf5UA</vt:lpwstr>
  </property>
  <property fmtid="{D5CDD505-2E9C-101B-9397-08002B2CF9AE}" pid="19" name="_2015_ms_pID_7253431_00">
    <vt:lpwstr>_2015_ms_pID_7253431</vt:lpwstr>
  </property>
  <property fmtid="{D5CDD505-2E9C-101B-9397-08002B2CF9AE}" pid="20" name="_2015_ms_pID_7253432">
    <vt:lpwstr>CDcGjdg4es1hUJ7N/TzmnCQzeyC+UW+tYusv
sZNTkC+n+6qvfvAp6CIn0UpPAUNdUJfgHNI03UcjnljufJq2dj4=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